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AD8" w:rsidRDefault="007B3AD8" w:rsidP="007B3AD8">
      <w:pPr>
        <w:spacing w:line="360" w:lineRule="auto"/>
        <w:jc w:val="center"/>
        <w:rPr>
          <w:rFonts w:cs="David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DFF40E7" wp14:editId="7469C7CA">
            <wp:simplePos x="0" y="0"/>
            <wp:positionH relativeFrom="column">
              <wp:posOffset>-6985</wp:posOffset>
            </wp:positionH>
            <wp:positionV relativeFrom="paragraph">
              <wp:posOffset>0</wp:posOffset>
            </wp:positionV>
            <wp:extent cx="5400040" cy="3519805"/>
            <wp:effectExtent l="0" t="0" r="10160" b="4445"/>
            <wp:wrapTopAndBottom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anchor>
        </w:drawing>
      </w:r>
      <w:r w:rsidRPr="00771BC3">
        <w:rPr>
          <w:rFonts w:cs="David" w:hint="cs"/>
          <w:u w:val="single"/>
          <w:rtl/>
        </w:rPr>
        <w:t xml:space="preserve">תרשים </w:t>
      </w:r>
      <w:r>
        <w:rPr>
          <w:rFonts w:cs="David" w:hint="cs"/>
          <w:u w:val="single"/>
          <w:rtl/>
        </w:rPr>
        <w:t>1</w:t>
      </w:r>
      <w:r w:rsidRPr="00771BC3">
        <w:rPr>
          <w:rFonts w:cs="David" w:hint="cs"/>
          <w:u w:val="single"/>
          <w:rtl/>
        </w:rPr>
        <w:t xml:space="preserve">: לוגריתם של התוצר לנפש בישראל בשנים 1950 </w:t>
      </w:r>
      <w:r w:rsidRPr="00771BC3">
        <w:rPr>
          <w:rFonts w:cs="David"/>
          <w:u w:val="single"/>
          <w:rtl/>
        </w:rPr>
        <w:t>–</w:t>
      </w:r>
      <w:r w:rsidRPr="00771BC3">
        <w:rPr>
          <w:rFonts w:cs="David" w:hint="cs"/>
          <w:u w:val="single"/>
          <w:rtl/>
        </w:rPr>
        <w:t>201</w:t>
      </w:r>
      <w:r>
        <w:rPr>
          <w:rFonts w:cs="David" w:hint="cs"/>
          <w:u w:val="single"/>
          <w:rtl/>
        </w:rPr>
        <w:t>4</w:t>
      </w:r>
    </w:p>
    <w:p w:rsidR="007B3AD8" w:rsidRDefault="007B3AD8" w:rsidP="007B3AD8">
      <w:pPr>
        <w:spacing w:line="360" w:lineRule="auto"/>
        <w:jc w:val="both"/>
        <w:rPr>
          <w:rFonts w:cs="David"/>
          <w:rtl/>
        </w:rPr>
      </w:pPr>
    </w:p>
    <w:p w:rsidR="007B3AD8" w:rsidRDefault="007B3AD8" w:rsidP="007B3AD8">
      <w:pPr>
        <w:spacing w:line="360" w:lineRule="auto"/>
        <w:ind w:firstLine="720"/>
        <w:jc w:val="both"/>
        <w:rPr>
          <w:rFonts w:cs="David"/>
          <w:rtl/>
        </w:rPr>
      </w:pPr>
      <w:r>
        <w:rPr>
          <w:rFonts w:cs="David" w:hint="cs"/>
          <w:rtl/>
        </w:rPr>
        <w:t>השיפוע</w:t>
      </w:r>
      <w:bookmarkStart w:id="0" w:name="_GoBack"/>
      <w:bookmarkEnd w:id="0"/>
      <w:r>
        <w:rPr>
          <w:rFonts w:cs="David" w:hint="cs"/>
          <w:rtl/>
        </w:rPr>
        <w:t xml:space="preserve"> הממוצע לאורך 22 השנים הוא:</w:t>
      </w:r>
    </w:p>
    <w:p w:rsidR="007B3AD8" w:rsidRDefault="007B3AD8" w:rsidP="007B3AD8">
      <w:pPr>
        <w:spacing w:line="360" w:lineRule="auto"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ab/>
      </w:r>
      <w:r w:rsidRPr="003B0512">
        <w:rPr>
          <w:rFonts w:cs="David"/>
          <w:position w:val="-24"/>
        </w:rPr>
        <w:object w:dxaOrig="20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15pt;height:30pt" o:ole="">
            <v:imagedata r:id="rId6" o:title=""/>
          </v:shape>
          <o:OLEObject Type="Embed" ProgID="Equation.3" ShapeID="_x0000_i1025" DrawAspect="Content" ObjectID="_1570773650" r:id="rId7"/>
        </w:object>
      </w:r>
    </w:p>
    <w:p w:rsidR="00B642C0" w:rsidRDefault="007B3AD8"/>
    <w:sectPr w:rsidR="00B642C0" w:rsidSect="009A39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AD8"/>
    <w:rsid w:val="007B3AD8"/>
    <w:rsid w:val="009817F0"/>
    <w:rsid w:val="009A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8"/>
    <w:pPr>
      <w:bidi/>
      <w:spacing w:after="0" w:line="240" w:lineRule="auto"/>
    </w:pPr>
    <w:rPr>
      <w:rFonts w:ascii="Times New Roman" w:eastAsia="Times New Roman" w:hAnsi="Times New Roman" w:cs="Miriam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8"/>
    <w:pPr>
      <w:bidi/>
      <w:spacing w:after="0" w:line="240" w:lineRule="auto"/>
    </w:pPr>
    <w:rPr>
      <w:rFonts w:ascii="Times New Roman" w:eastAsia="Times New Roman" w:hAnsi="Times New Roman" w:cs="Miriam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owner\Documents\israel\text\chapter%202%20growth\outpu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4316523581306821E-2"/>
          <c:y val="4.4470645390866821E-2"/>
          <c:w val="0.8512149910000667"/>
          <c:h val="0.85478343260493128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xVal>
            <c:numRef>
              <c:f>Sheet1!$S$3:$S$67</c:f>
              <c:numCache>
                <c:formatCode>General</c:formatCode>
                <c:ptCount val="65"/>
                <c:pt idx="0">
                  <c:v>1950</c:v>
                </c:pt>
                <c:pt idx="1">
                  <c:v>1951</c:v>
                </c:pt>
                <c:pt idx="2">
                  <c:v>1952</c:v>
                </c:pt>
                <c:pt idx="3">
                  <c:v>1953</c:v>
                </c:pt>
                <c:pt idx="4">
                  <c:v>1954</c:v>
                </c:pt>
                <c:pt idx="5">
                  <c:v>1955</c:v>
                </c:pt>
                <c:pt idx="6">
                  <c:v>1956</c:v>
                </c:pt>
                <c:pt idx="7">
                  <c:v>1957</c:v>
                </c:pt>
                <c:pt idx="8">
                  <c:v>1958</c:v>
                </c:pt>
                <c:pt idx="9">
                  <c:v>1959</c:v>
                </c:pt>
                <c:pt idx="10">
                  <c:v>1960</c:v>
                </c:pt>
                <c:pt idx="11">
                  <c:v>1961</c:v>
                </c:pt>
                <c:pt idx="12">
                  <c:v>1962</c:v>
                </c:pt>
                <c:pt idx="13">
                  <c:v>1963</c:v>
                </c:pt>
                <c:pt idx="14">
                  <c:v>1964</c:v>
                </c:pt>
                <c:pt idx="15">
                  <c:v>1965</c:v>
                </c:pt>
                <c:pt idx="16">
                  <c:v>1966</c:v>
                </c:pt>
                <c:pt idx="17">
                  <c:v>1967</c:v>
                </c:pt>
                <c:pt idx="18">
                  <c:v>1968</c:v>
                </c:pt>
                <c:pt idx="19">
                  <c:v>1969</c:v>
                </c:pt>
                <c:pt idx="20">
                  <c:v>1970</c:v>
                </c:pt>
                <c:pt idx="21">
                  <c:v>1971</c:v>
                </c:pt>
                <c:pt idx="22">
                  <c:v>1972</c:v>
                </c:pt>
                <c:pt idx="23">
                  <c:v>1973</c:v>
                </c:pt>
                <c:pt idx="24">
                  <c:v>1974</c:v>
                </c:pt>
                <c:pt idx="25">
                  <c:v>1975</c:v>
                </c:pt>
                <c:pt idx="26">
                  <c:v>1976</c:v>
                </c:pt>
                <c:pt idx="27">
                  <c:v>1977</c:v>
                </c:pt>
                <c:pt idx="28">
                  <c:v>1978</c:v>
                </c:pt>
                <c:pt idx="29">
                  <c:v>1979</c:v>
                </c:pt>
                <c:pt idx="30">
                  <c:v>1980</c:v>
                </c:pt>
                <c:pt idx="31">
                  <c:v>1981</c:v>
                </c:pt>
                <c:pt idx="32">
                  <c:v>1982</c:v>
                </c:pt>
                <c:pt idx="33">
                  <c:v>1983</c:v>
                </c:pt>
                <c:pt idx="34">
                  <c:v>1984</c:v>
                </c:pt>
                <c:pt idx="35">
                  <c:v>1985</c:v>
                </c:pt>
                <c:pt idx="36">
                  <c:v>1986</c:v>
                </c:pt>
                <c:pt idx="37">
                  <c:v>1987</c:v>
                </c:pt>
                <c:pt idx="38">
                  <c:v>1988</c:v>
                </c:pt>
                <c:pt idx="39">
                  <c:v>1989</c:v>
                </c:pt>
                <c:pt idx="40">
                  <c:v>1990</c:v>
                </c:pt>
                <c:pt idx="41">
                  <c:v>1991</c:v>
                </c:pt>
                <c:pt idx="42">
                  <c:v>1992</c:v>
                </c:pt>
                <c:pt idx="43">
                  <c:v>1993</c:v>
                </c:pt>
                <c:pt idx="44">
                  <c:v>1994</c:v>
                </c:pt>
                <c:pt idx="45">
                  <c:v>1995</c:v>
                </c:pt>
                <c:pt idx="46">
                  <c:v>1996</c:v>
                </c:pt>
                <c:pt idx="47">
                  <c:v>1997</c:v>
                </c:pt>
                <c:pt idx="48">
                  <c:v>1998</c:v>
                </c:pt>
                <c:pt idx="49">
                  <c:v>1999</c:v>
                </c:pt>
                <c:pt idx="50">
                  <c:v>2000</c:v>
                </c:pt>
                <c:pt idx="51">
                  <c:v>2001</c:v>
                </c:pt>
                <c:pt idx="52">
                  <c:v>2002</c:v>
                </c:pt>
                <c:pt idx="53">
                  <c:v>2003</c:v>
                </c:pt>
                <c:pt idx="54">
                  <c:v>2004</c:v>
                </c:pt>
                <c:pt idx="55">
                  <c:v>2005</c:v>
                </c:pt>
                <c:pt idx="56">
                  <c:v>2006</c:v>
                </c:pt>
                <c:pt idx="57">
                  <c:v>2007</c:v>
                </c:pt>
                <c:pt idx="58">
                  <c:v>2008</c:v>
                </c:pt>
                <c:pt idx="59">
                  <c:v>2009</c:v>
                </c:pt>
                <c:pt idx="60">
                  <c:v>2010</c:v>
                </c:pt>
                <c:pt idx="61">
                  <c:v>2011</c:v>
                </c:pt>
                <c:pt idx="62">
                  <c:v>2012</c:v>
                </c:pt>
                <c:pt idx="63">
                  <c:v>2013</c:v>
                </c:pt>
                <c:pt idx="64">
                  <c:v>2014</c:v>
                </c:pt>
              </c:numCache>
            </c:numRef>
          </c:xVal>
          <c:yVal>
            <c:numRef>
              <c:f>Sheet1!$T$3:$T$67</c:f>
              <c:numCache>
                <c:formatCode>General</c:formatCode>
                <c:ptCount val="65"/>
                <c:pt idx="0">
                  <c:v>9.829083896642663</c:v>
                </c:pt>
                <c:pt idx="1">
                  <c:v>9.927222367884676</c:v>
                </c:pt>
                <c:pt idx="2">
                  <c:v>9.8981020317134512</c:v>
                </c:pt>
                <c:pt idx="3">
                  <c:v>9.8564172834971391</c:v>
                </c:pt>
                <c:pt idx="4">
                  <c:v>10.010254550543049</c:v>
                </c:pt>
                <c:pt idx="5">
                  <c:v>10.102779373983031</c:v>
                </c:pt>
                <c:pt idx="6">
                  <c:v>10.144625649438625</c:v>
                </c:pt>
                <c:pt idx="7">
                  <c:v>10.175048753302693</c:v>
                </c:pt>
                <c:pt idx="8">
                  <c:v>10.210270956357986</c:v>
                </c:pt>
                <c:pt idx="9">
                  <c:v>10.299756378003975</c:v>
                </c:pt>
                <c:pt idx="10">
                  <c:v>10.337423070607551</c:v>
                </c:pt>
                <c:pt idx="11">
                  <c:v>10.407003443955292</c:v>
                </c:pt>
                <c:pt idx="12">
                  <c:v>10.458276902907935</c:v>
                </c:pt>
                <c:pt idx="13">
                  <c:v>10.519256209250106</c:v>
                </c:pt>
                <c:pt idx="14">
                  <c:v>10.560829130755419</c:v>
                </c:pt>
                <c:pt idx="15">
                  <c:v>10.616964798392944</c:v>
                </c:pt>
                <c:pt idx="16">
                  <c:v>10.601266438610958</c:v>
                </c:pt>
                <c:pt idx="17">
                  <c:v>10.591865345956526</c:v>
                </c:pt>
                <c:pt idx="18">
                  <c:v>10.701792851372105</c:v>
                </c:pt>
                <c:pt idx="19">
                  <c:v>10.794207971038931</c:v>
                </c:pt>
                <c:pt idx="20">
                  <c:v>10.837412324825575</c:v>
                </c:pt>
                <c:pt idx="21">
                  <c:v>10.912629557088209</c:v>
                </c:pt>
                <c:pt idx="22">
                  <c:v>10.994969513224277</c:v>
                </c:pt>
                <c:pt idx="23">
                  <c:v>11.009783929660648</c:v>
                </c:pt>
                <c:pt idx="24">
                  <c:v>11.033649304962884</c:v>
                </c:pt>
                <c:pt idx="25">
                  <c:v>11.048427720486131</c:v>
                </c:pt>
                <c:pt idx="26">
                  <c:v>11.041854204868587</c:v>
                </c:pt>
                <c:pt idx="27">
                  <c:v>11.039507268407471</c:v>
                </c:pt>
                <c:pt idx="28">
                  <c:v>11.057970052781839</c:v>
                </c:pt>
                <c:pt idx="29">
                  <c:v>11.079041468840792</c:v>
                </c:pt>
                <c:pt idx="30">
                  <c:v>11.090185988973186</c:v>
                </c:pt>
                <c:pt idx="31">
                  <c:v>11.118345758556563</c:v>
                </c:pt>
                <c:pt idx="32">
                  <c:v>11.112777398289884</c:v>
                </c:pt>
                <c:pt idx="33">
                  <c:v>11.126089830910598</c:v>
                </c:pt>
                <c:pt idx="34">
                  <c:v>11.127818778675614</c:v>
                </c:pt>
                <c:pt idx="35">
                  <c:v>11.153753257174275</c:v>
                </c:pt>
                <c:pt idx="36">
                  <c:v>11.173218725188944</c:v>
                </c:pt>
                <c:pt idx="37">
                  <c:v>11.216688546272994</c:v>
                </c:pt>
                <c:pt idx="38">
                  <c:v>11.235180914343934</c:v>
                </c:pt>
                <c:pt idx="39">
                  <c:v>11.232197153808601</c:v>
                </c:pt>
                <c:pt idx="40">
                  <c:v>11.26547448971764</c:v>
                </c:pt>
                <c:pt idx="41">
                  <c:v>11.264487621664728</c:v>
                </c:pt>
                <c:pt idx="42">
                  <c:v>11.298961067346873</c:v>
                </c:pt>
                <c:pt idx="43">
                  <c:v>11.30942135260053</c:v>
                </c:pt>
                <c:pt idx="44">
                  <c:v>11.351308659753611</c:v>
                </c:pt>
                <c:pt idx="45">
                  <c:v>11.387996800947208</c:v>
                </c:pt>
                <c:pt idx="46">
                  <c:v>11.422780230433412</c:v>
                </c:pt>
                <c:pt idx="47">
                  <c:v>11.43781162197436</c:v>
                </c:pt>
                <c:pt idx="48">
                  <c:v>11.45541536411425</c:v>
                </c:pt>
                <c:pt idx="49">
                  <c:v>11.466541623573749</c:v>
                </c:pt>
                <c:pt idx="50">
                  <c:v>11.525780008301227</c:v>
                </c:pt>
                <c:pt idx="51">
                  <c:v>11.504653523023229</c:v>
                </c:pt>
                <c:pt idx="52">
                  <c:v>11.483830206138849</c:v>
                </c:pt>
                <c:pt idx="53">
                  <c:v>11.477477565679528</c:v>
                </c:pt>
                <c:pt idx="54">
                  <c:v>11.509677474999357</c:v>
                </c:pt>
                <c:pt idx="55">
                  <c:v>11.535011144060721</c:v>
                </c:pt>
                <c:pt idx="56">
                  <c:v>11.57373043183577</c:v>
                </c:pt>
                <c:pt idx="57">
                  <c:v>11.615512613377351</c:v>
                </c:pt>
                <c:pt idx="58">
                  <c:v>11.627881090015302</c:v>
                </c:pt>
                <c:pt idx="59">
                  <c:v>11.61658700090746</c:v>
                </c:pt>
                <c:pt idx="60">
                  <c:v>11.652021368231662</c:v>
                </c:pt>
                <c:pt idx="61">
                  <c:v>11.682617889541136</c:v>
                </c:pt>
                <c:pt idx="62">
                  <c:v>11.692548673245332</c:v>
                </c:pt>
                <c:pt idx="63">
                  <c:v>11.70588300599727</c:v>
                </c:pt>
                <c:pt idx="64">
                  <c:v>11.711910479072012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2351360"/>
        <c:axId val="182352896"/>
      </c:scatterChart>
      <c:valAx>
        <c:axId val="182351360"/>
        <c:scaling>
          <c:orientation val="minMax"/>
          <c:max val="2014"/>
          <c:min val="195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e-IL"/>
          </a:p>
        </c:txPr>
        <c:crossAx val="182352896"/>
        <c:crosses val="autoZero"/>
        <c:crossBetween val="midCat"/>
      </c:valAx>
      <c:valAx>
        <c:axId val="182352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e-IL"/>
          </a:p>
        </c:txPr>
        <c:crossAx val="182351360"/>
        <c:crosses val="autoZero"/>
        <c:crossBetween val="midCat"/>
      </c:valAx>
      <c:spPr>
        <a:noFill/>
        <a:ln>
          <a:solidFill>
            <a:schemeClr val="tx1">
              <a:lumMod val="50000"/>
              <a:lumOff val="50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aseline="0"/>
      </a:pPr>
      <a:endParaRPr lang="he-I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2017-10-29T07:11:00Z</dcterms:created>
  <dcterms:modified xsi:type="dcterms:W3CDTF">2017-10-29T07:11:00Z</dcterms:modified>
</cp:coreProperties>
</file>