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f0ee710452334fec"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E9" w:rsidRDefault="00EB67E9" w:rsidP="00B75FBB">
      <w:pPr>
        <w:jc w:val="center"/>
        <w:rPr>
          <w:b/>
          <w:bCs/>
          <w:sz w:val="26"/>
          <w:szCs w:val="26"/>
          <w:rtl/>
        </w:rPr>
      </w:pPr>
      <w:bookmarkStart w:id="0" w:name="_GoBack"/>
      <w:bookmarkEnd w:id="0"/>
      <w:r>
        <w:rPr>
          <w:noProof/>
        </w:rPr>
        <w:drawing>
          <wp:inline distT="0" distB="0" distL="0" distR="0" wp14:anchorId="7ABFA68A" wp14:editId="2564F585">
            <wp:extent cx="509905" cy="624205"/>
            <wp:effectExtent l="0" t="0" r="4445" b="4445"/>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905" cy="624205"/>
                    </a:xfrm>
                    <a:prstGeom prst="rect">
                      <a:avLst/>
                    </a:prstGeom>
                    <a:noFill/>
                    <a:ln>
                      <a:noFill/>
                    </a:ln>
                  </pic:spPr>
                </pic:pic>
              </a:graphicData>
            </a:graphic>
          </wp:inline>
        </w:drawing>
      </w:r>
    </w:p>
    <w:p w:rsidR="00EB67E9" w:rsidRDefault="00EB67E9" w:rsidP="00B75FBB">
      <w:pPr>
        <w:rPr>
          <w:b/>
          <w:bCs/>
          <w:sz w:val="26"/>
          <w:szCs w:val="26"/>
          <w:rtl/>
        </w:rPr>
      </w:pPr>
      <w:r w:rsidRPr="00CB5068">
        <w:rPr>
          <w:b/>
          <w:bCs/>
          <w:sz w:val="26"/>
          <w:szCs w:val="26"/>
          <w:rtl/>
        </w:rPr>
        <w:t>תוכן עניינים</w:t>
      </w:r>
    </w:p>
    <w:p w:rsidR="00C453B4" w:rsidRDefault="00EB67E9">
      <w:pPr>
        <w:pStyle w:val="TOC1"/>
        <w:rPr>
          <w:rFonts w:asciiTheme="minorHAnsi" w:eastAsiaTheme="minorEastAsia" w:hAnsiTheme="minorHAnsi" w:cstheme="minorBidi"/>
          <w:bCs w:val="0"/>
          <w:noProof/>
          <w:sz w:val="22"/>
          <w:rtl/>
        </w:rPr>
      </w:pPr>
      <w:r>
        <w:rPr>
          <w:rtl/>
        </w:rPr>
        <w:fldChar w:fldCharType="begin"/>
      </w:r>
      <w:r>
        <w:rPr>
          <w:rtl/>
        </w:rPr>
        <w:instrText xml:space="preserve"> </w:instrText>
      </w:r>
      <w:r>
        <w:instrText>TOC</w:instrText>
      </w:r>
      <w:r>
        <w:rPr>
          <w:rtl/>
        </w:rPr>
        <w:instrText xml:space="preserve"> \</w:instrText>
      </w:r>
      <w:r>
        <w:instrText>o "1-9" \h \z \t "Table SideHeading,3,Table Head,2,Head HatzaotHok,1,Head DivreiHesber,2,Head HatzaotHok4Futer,1</w:instrText>
      </w:r>
      <w:r>
        <w:rPr>
          <w:rtl/>
        </w:rPr>
        <w:instrText xml:space="preserve">" </w:instrText>
      </w:r>
      <w:r>
        <w:rPr>
          <w:rtl/>
        </w:rPr>
        <w:fldChar w:fldCharType="separate"/>
      </w:r>
      <w:hyperlink w:anchor="_Toc128074535" w:history="1">
        <w:r w:rsidR="00C453B4" w:rsidRPr="00902577">
          <w:rPr>
            <w:rStyle w:val="Hyperlink"/>
            <w:noProof/>
            <w:rtl/>
          </w:rPr>
          <w:t>תזכיר חוק</w:t>
        </w:r>
        <w:r w:rsidR="00C453B4">
          <w:rPr>
            <w:noProof/>
            <w:webHidden/>
            <w:rtl/>
          </w:rPr>
          <w:tab/>
        </w:r>
        <w:r w:rsidR="00C453B4">
          <w:rPr>
            <w:rStyle w:val="Hyperlink"/>
            <w:noProof/>
            <w:rtl/>
          </w:rPr>
          <w:fldChar w:fldCharType="begin"/>
        </w:r>
        <w:r w:rsidR="00C453B4">
          <w:rPr>
            <w:noProof/>
            <w:webHidden/>
            <w:rtl/>
          </w:rPr>
          <w:instrText xml:space="preserve"> </w:instrText>
        </w:r>
        <w:r w:rsidR="00C453B4">
          <w:rPr>
            <w:noProof/>
            <w:webHidden/>
          </w:rPr>
          <w:instrText>PAGEREF</w:instrText>
        </w:r>
        <w:r w:rsidR="00C453B4">
          <w:rPr>
            <w:noProof/>
            <w:webHidden/>
            <w:rtl/>
          </w:rPr>
          <w:instrText xml:space="preserve"> _</w:instrText>
        </w:r>
        <w:r w:rsidR="00C453B4">
          <w:rPr>
            <w:noProof/>
            <w:webHidden/>
          </w:rPr>
          <w:instrText>Toc128074535 \h</w:instrText>
        </w:r>
        <w:r w:rsidR="00C453B4">
          <w:rPr>
            <w:noProof/>
            <w:webHidden/>
            <w:rtl/>
          </w:rPr>
          <w:instrText xml:space="preserve"> </w:instrText>
        </w:r>
        <w:r w:rsidR="00C453B4">
          <w:rPr>
            <w:rStyle w:val="Hyperlink"/>
            <w:noProof/>
            <w:rtl/>
          </w:rPr>
        </w:r>
        <w:r w:rsidR="00C453B4">
          <w:rPr>
            <w:rStyle w:val="Hyperlink"/>
            <w:noProof/>
            <w:rtl/>
          </w:rPr>
          <w:fldChar w:fldCharType="separate"/>
        </w:r>
        <w:r w:rsidR="00C453B4">
          <w:rPr>
            <w:noProof/>
            <w:webHidden/>
            <w:rtl/>
          </w:rPr>
          <w:t>2</w:t>
        </w:r>
        <w:r w:rsidR="00C453B4">
          <w:rPr>
            <w:rStyle w:val="Hyperlink"/>
            <w:noProof/>
            <w:rtl/>
          </w:rPr>
          <w:fldChar w:fldCharType="end"/>
        </w:r>
      </w:hyperlink>
    </w:p>
    <w:p w:rsidR="00C453B4" w:rsidRDefault="00EB54E1">
      <w:pPr>
        <w:pStyle w:val="TOC4"/>
        <w:rPr>
          <w:rFonts w:cstheme="minorBidi"/>
          <w:rtl/>
        </w:rPr>
      </w:pPr>
      <w:hyperlink w:anchor="_Toc128074536" w:history="1">
        <w:r w:rsidR="00C453B4" w:rsidRPr="00902577">
          <w:rPr>
            <w:rStyle w:val="Hyperlink"/>
            <w:rtl/>
          </w:rPr>
          <w:t>א. שם החוק המוצע</w:t>
        </w:r>
        <w:r w:rsidR="00C453B4">
          <w:rPr>
            <w:webHidden/>
            <w:rtl/>
          </w:rPr>
          <w:tab/>
        </w:r>
        <w:r w:rsidR="00C453B4">
          <w:rPr>
            <w:rStyle w:val="Hyperlink"/>
            <w:rtl/>
          </w:rPr>
          <w:fldChar w:fldCharType="begin"/>
        </w:r>
        <w:r w:rsidR="00C453B4">
          <w:rPr>
            <w:webHidden/>
            <w:rtl/>
          </w:rPr>
          <w:instrText xml:space="preserve"> </w:instrText>
        </w:r>
        <w:r w:rsidR="00C453B4">
          <w:rPr>
            <w:webHidden/>
          </w:rPr>
          <w:instrText>PAGEREF</w:instrText>
        </w:r>
        <w:r w:rsidR="00C453B4">
          <w:rPr>
            <w:webHidden/>
            <w:rtl/>
          </w:rPr>
          <w:instrText xml:space="preserve"> _</w:instrText>
        </w:r>
        <w:r w:rsidR="00C453B4">
          <w:rPr>
            <w:webHidden/>
          </w:rPr>
          <w:instrText>Toc128074536 \h</w:instrText>
        </w:r>
        <w:r w:rsidR="00C453B4">
          <w:rPr>
            <w:webHidden/>
            <w:rtl/>
          </w:rPr>
          <w:instrText xml:space="preserve"> </w:instrText>
        </w:r>
        <w:r w:rsidR="00C453B4">
          <w:rPr>
            <w:rStyle w:val="Hyperlink"/>
            <w:rtl/>
          </w:rPr>
        </w:r>
        <w:r w:rsidR="00C453B4">
          <w:rPr>
            <w:rStyle w:val="Hyperlink"/>
            <w:rtl/>
          </w:rPr>
          <w:fldChar w:fldCharType="separate"/>
        </w:r>
        <w:r w:rsidR="00C453B4">
          <w:rPr>
            <w:webHidden/>
            <w:rtl/>
          </w:rPr>
          <w:t>2</w:t>
        </w:r>
        <w:r w:rsidR="00C453B4">
          <w:rPr>
            <w:rStyle w:val="Hyperlink"/>
            <w:rtl/>
          </w:rPr>
          <w:fldChar w:fldCharType="end"/>
        </w:r>
      </w:hyperlink>
    </w:p>
    <w:p w:rsidR="00C453B4" w:rsidRDefault="00EB54E1">
      <w:pPr>
        <w:pStyle w:val="TOC4"/>
        <w:rPr>
          <w:rFonts w:cstheme="minorBidi"/>
          <w:rtl/>
        </w:rPr>
      </w:pPr>
      <w:hyperlink w:anchor="_Toc128074537" w:history="1">
        <w:r w:rsidR="00C453B4" w:rsidRPr="00902577">
          <w:rPr>
            <w:rStyle w:val="Hyperlink"/>
            <w:rtl/>
          </w:rPr>
          <w:t>ב. מטרת החוק המוצע, הצורך בו, עיקרי הוראותיו והשפעתו על הדין הקיים</w:t>
        </w:r>
        <w:r w:rsidR="00C453B4">
          <w:rPr>
            <w:webHidden/>
            <w:rtl/>
          </w:rPr>
          <w:tab/>
        </w:r>
        <w:r w:rsidR="00C453B4">
          <w:rPr>
            <w:rStyle w:val="Hyperlink"/>
            <w:rtl/>
          </w:rPr>
          <w:fldChar w:fldCharType="begin"/>
        </w:r>
        <w:r w:rsidR="00C453B4">
          <w:rPr>
            <w:webHidden/>
            <w:rtl/>
          </w:rPr>
          <w:instrText xml:space="preserve"> </w:instrText>
        </w:r>
        <w:r w:rsidR="00C453B4">
          <w:rPr>
            <w:webHidden/>
          </w:rPr>
          <w:instrText>PAGEREF</w:instrText>
        </w:r>
        <w:r w:rsidR="00C453B4">
          <w:rPr>
            <w:webHidden/>
            <w:rtl/>
          </w:rPr>
          <w:instrText xml:space="preserve"> _</w:instrText>
        </w:r>
        <w:r w:rsidR="00C453B4">
          <w:rPr>
            <w:webHidden/>
          </w:rPr>
          <w:instrText>Toc128074537 \h</w:instrText>
        </w:r>
        <w:r w:rsidR="00C453B4">
          <w:rPr>
            <w:webHidden/>
            <w:rtl/>
          </w:rPr>
          <w:instrText xml:space="preserve"> </w:instrText>
        </w:r>
        <w:r w:rsidR="00C453B4">
          <w:rPr>
            <w:rStyle w:val="Hyperlink"/>
            <w:rtl/>
          </w:rPr>
        </w:r>
        <w:r w:rsidR="00C453B4">
          <w:rPr>
            <w:rStyle w:val="Hyperlink"/>
            <w:rtl/>
          </w:rPr>
          <w:fldChar w:fldCharType="separate"/>
        </w:r>
        <w:r w:rsidR="00C453B4">
          <w:rPr>
            <w:webHidden/>
            <w:rtl/>
          </w:rPr>
          <w:t>2</w:t>
        </w:r>
        <w:r w:rsidR="00C453B4">
          <w:rPr>
            <w:rStyle w:val="Hyperlink"/>
            <w:rtl/>
          </w:rPr>
          <w:fldChar w:fldCharType="end"/>
        </w:r>
      </w:hyperlink>
    </w:p>
    <w:p w:rsidR="00C453B4" w:rsidRDefault="00EB54E1">
      <w:pPr>
        <w:pStyle w:val="TOC4"/>
        <w:rPr>
          <w:rFonts w:cstheme="minorBidi"/>
          <w:rtl/>
        </w:rPr>
      </w:pPr>
      <w:hyperlink w:anchor="_Toc128074538" w:history="1">
        <w:r w:rsidR="00C453B4" w:rsidRPr="00902577">
          <w:rPr>
            <w:rStyle w:val="Hyperlink"/>
            <w:rtl/>
          </w:rPr>
          <w:t>ג. השפעת תזכיר החוק המוצע על התקציב ועל התקן המנהלי של המשרד היוזם, משרדים אחרים ורשויות אחרות</w:t>
        </w:r>
        <w:r w:rsidR="00C453B4">
          <w:rPr>
            <w:webHidden/>
            <w:rtl/>
          </w:rPr>
          <w:tab/>
        </w:r>
        <w:r w:rsidR="00C453B4">
          <w:rPr>
            <w:rStyle w:val="Hyperlink"/>
            <w:rtl/>
          </w:rPr>
          <w:fldChar w:fldCharType="begin"/>
        </w:r>
        <w:r w:rsidR="00C453B4">
          <w:rPr>
            <w:webHidden/>
            <w:rtl/>
          </w:rPr>
          <w:instrText xml:space="preserve"> </w:instrText>
        </w:r>
        <w:r w:rsidR="00C453B4">
          <w:rPr>
            <w:webHidden/>
          </w:rPr>
          <w:instrText>PAGEREF</w:instrText>
        </w:r>
        <w:r w:rsidR="00C453B4">
          <w:rPr>
            <w:webHidden/>
            <w:rtl/>
          </w:rPr>
          <w:instrText xml:space="preserve"> _</w:instrText>
        </w:r>
        <w:r w:rsidR="00C453B4">
          <w:rPr>
            <w:webHidden/>
          </w:rPr>
          <w:instrText>Toc128074538 \h</w:instrText>
        </w:r>
        <w:r w:rsidR="00C453B4">
          <w:rPr>
            <w:webHidden/>
            <w:rtl/>
          </w:rPr>
          <w:instrText xml:space="preserve"> </w:instrText>
        </w:r>
        <w:r w:rsidR="00C453B4">
          <w:rPr>
            <w:rStyle w:val="Hyperlink"/>
            <w:rtl/>
          </w:rPr>
        </w:r>
        <w:r w:rsidR="00C453B4">
          <w:rPr>
            <w:rStyle w:val="Hyperlink"/>
            <w:rtl/>
          </w:rPr>
          <w:fldChar w:fldCharType="separate"/>
        </w:r>
        <w:r w:rsidR="00C453B4">
          <w:rPr>
            <w:webHidden/>
            <w:rtl/>
          </w:rPr>
          <w:t>2</w:t>
        </w:r>
        <w:r w:rsidR="00C453B4">
          <w:rPr>
            <w:rStyle w:val="Hyperlink"/>
            <w:rtl/>
          </w:rPr>
          <w:fldChar w:fldCharType="end"/>
        </w:r>
      </w:hyperlink>
    </w:p>
    <w:p w:rsidR="00C453B4" w:rsidRDefault="00EB54E1">
      <w:pPr>
        <w:pStyle w:val="TOC4"/>
        <w:rPr>
          <w:rFonts w:cstheme="minorBidi"/>
          <w:rtl/>
        </w:rPr>
      </w:pPr>
      <w:hyperlink w:anchor="_Toc128074539" w:history="1">
        <w:r w:rsidR="00C453B4" w:rsidRPr="00902577">
          <w:rPr>
            <w:rStyle w:val="Hyperlink"/>
            <w:rtl/>
          </w:rPr>
          <w:t>ד. להלן נוסח תזכיר החוק המוצע ודברי הסבר -</w:t>
        </w:r>
        <w:r w:rsidR="00C453B4">
          <w:rPr>
            <w:webHidden/>
            <w:rtl/>
          </w:rPr>
          <w:tab/>
        </w:r>
        <w:r w:rsidR="00C453B4">
          <w:rPr>
            <w:rStyle w:val="Hyperlink"/>
            <w:rtl/>
          </w:rPr>
          <w:fldChar w:fldCharType="begin"/>
        </w:r>
        <w:r w:rsidR="00C453B4">
          <w:rPr>
            <w:webHidden/>
            <w:rtl/>
          </w:rPr>
          <w:instrText xml:space="preserve"> </w:instrText>
        </w:r>
        <w:r w:rsidR="00C453B4">
          <w:rPr>
            <w:webHidden/>
          </w:rPr>
          <w:instrText>PAGEREF</w:instrText>
        </w:r>
        <w:r w:rsidR="00C453B4">
          <w:rPr>
            <w:webHidden/>
            <w:rtl/>
          </w:rPr>
          <w:instrText xml:space="preserve"> _</w:instrText>
        </w:r>
        <w:r w:rsidR="00C453B4">
          <w:rPr>
            <w:webHidden/>
          </w:rPr>
          <w:instrText>Toc128074539 \h</w:instrText>
        </w:r>
        <w:r w:rsidR="00C453B4">
          <w:rPr>
            <w:webHidden/>
            <w:rtl/>
          </w:rPr>
          <w:instrText xml:space="preserve"> </w:instrText>
        </w:r>
        <w:r w:rsidR="00C453B4">
          <w:rPr>
            <w:rStyle w:val="Hyperlink"/>
            <w:rtl/>
          </w:rPr>
        </w:r>
        <w:r w:rsidR="00C453B4">
          <w:rPr>
            <w:rStyle w:val="Hyperlink"/>
            <w:rtl/>
          </w:rPr>
          <w:fldChar w:fldCharType="separate"/>
        </w:r>
        <w:r w:rsidR="00C453B4">
          <w:rPr>
            <w:webHidden/>
            <w:rtl/>
          </w:rPr>
          <w:t>2</w:t>
        </w:r>
        <w:r w:rsidR="00C453B4">
          <w:rPr>
            <w:rStyle w:val="Hyperlink"/>
            <w:rtl/>
          </w:rPr>
          <w:fldChar w:fldCharType="end"/>
        </w:r>
      </w:hyperlink>
    </w:p>
    <w:p w:rsidR="00C453B4" w:rsidRDefault="00563706" w:rsidP="00E30D75">
      <w:pPr>
        <w:pStyle w:val="TOC1"/>
        <w:rPr>
          <w:rFonts w:asciiTheme="minorHAnsi" w:eastAsiaTheme="minorEastAsia" w:hAnsiTheme="minorHAnsi" w:cstheme="minorBidi"/>
          <w:bCs w:val="0"/>
          <w:noProof/>
          <w:sz w:val="22"/>
          <w:rtl/>
        </w:rPr>
      </w:pPr>
      <w:hyperlink w:anchor="_Toc128074540" w:history="1">
        <w:r w:rsidR="00C453B4" w:rsidRPr="00902577">
          <w:rPr>
            <w:rStyle w:val="Hyperlink"/>
            <w:rFonts w:eastAsia="Times New Roman"/>
            <w:noProof/>
            <w:spacing w:val="1"/>
            <w:rtl/>
            <w:lang w:eastAsia="he-IL"/>
          </w:rPr>
          <w:t xml:space="preserve">חוק התוכנית הכלכלית (תיקוני חקיקה ליישום המדיניות הכלכלית לשנות התקציב 2023 ו-2024), התשפ"ג-2023, פרק </w:t>
        </w:r>
        <w:r w:rsidR="00E30D75">
          <w:rPr>
            <w:rFonts w:eastAsia="Times New Roman" w:hint="cs"/>
            <w:b/>
            <w:noProof/>
            <w:spacing w:val="1"/>
            <w:sz w:val="26"/>
            <w:szCs w:val="24"/>
            <w:rtl/>
            <w:lang w:eastAsia="he-IL"/>
          </w:rPr>
          <w:t xml:space="preserve">__: </w:t>
        </w:r>
        <w:r w:rsidR="00110D44" w:rsidRPr="00DF2CB8">
          <w:rPr>
            <w:rFonts w:eastAsia="Times New Roman"/>
            <w:b/>
            <w:noProof/>
            <w:spacing w:val="1"/>
            <w:sz w:val="26"/>
            <w:szCs w:val="24"/>
            <w:rtl/>
            <w:lang w:eastAsia="he-IL"/>
          </w:rPr>
          <w:t xml:space="preserve">התחדשות עירונית </w:t>
        </w:r>
        <w:r w:rsidR="00E30D75">
          <w:rPr>
            <w:rFonts w:eastAsia="Times New Roman" w:hint="cs"/>
            <w:b/>
            <w:noProof/>
            <w:spacing w:val="1"/>
            <w:sz w:val="26"/>
            <w:szCs w:val="24"/>
            <w:rtl/>
            <w:lang w:eastAsia="he-IL"/>
          </w:rPr>
          <w:t>(</w:t>
        </w:r>
        <w:r w:rsidR="00110D44" w:rsidRPr="00DF2CB8">
          <w:rPr>
            <w:rFonts w:eastAsia="Times New Roman"/>
            <w:b/>
            <w:noProof/>
            <w:spacing w:val="1"/>
            <w:sz w:val="26"/>
            <w:szCs w:val="24"/>
            <w:rtl/>
            <w:lang w:eastAsia="he-IL"/>
          </w:rPr>
          <w:t>חלק א'</w:t>
        </w:r>
        <w:r w:rsidR="00E30D75">
          <w:rPr>
            <w:rFonts w:eastAsia="Times New Roman" w:hint="cs"/>
            <w:b/>
            <w:noProof/>
            <w:spacing w:val="1"/>
            <w:sz w:val="26"/>
            <w:szCs w:val="24"/>
            <w:rtl/>
            <w:lang w:eastAsia="he-IL"/>
          </w:rPr>
          <w:t>)</w:t>
        </w:r>
        <w:r w:rsidR="00E30D75">
          <w:rPr>
            <w:rStyle w:val="Hyperlink"/>
            <w:rFonts w:eastAsia="Times New Roman" w:hint="cs"/>
            <w:noProof/>
            <w:spacing w:val="1"/>
            <w:rtl/>
            <w:lang w:eastAsia="he-IL"/>
          </w:rPr>
          <w:t xml:space="preserve"> </w:t>
        </w:r>
        <w:r w:rsidR="00C453B4">
          <w:rPr>
            <w:noProof/>
            <w:webHidden/>
            <w:rtl/>
          </w:rPr>
          <w:tab/>
        </w:r>
        <w:r w:rsidR="00C453B4">
          <w:rPr>
            <w:rStyle w:val="Hyperlink"/>
            <w:noProof/>
            <w:rtl/>
          </w:rPr>
          <w:fldChar w:fldCharType="begin"/>
        </w:r>
        <w:r w:rsidR="00C453B4">
          <w:rPr>
            <w:noProof/>
            <w:webHidden/>
            <w:rtl/>
          </w:rPr>
          <w:instrText xml:space="preserve"> </w:instrText>
        </w:r>
        <w:r w:rsidR="00C453B4">
          <w:rPr>
            <w:noProof/>
            <w:webHidden/>
          </w:rPr>
          <w:instrText>PAGEREF</w:instrText>
        </w:r>
        <w:r w:rsidR="00C453B4">
          <w:rPr>
            <w:noProof/>
            <w:webHidden/>
            <w:rtl/>
          </w:rPr>
          <w:instrText xml:space="preserve"> _</w:instrText>
        </w:r>
        <w:r w:rsidR="00C453B4">
          <w:rPr>
            <w:noProof/>
            <w:webHidden/>
          </w:rPr>
          <w:instrText>Toc128074540 \h</w:instrText>
        </w:r>
        <w:r w:rsidR="00C453B4">
          <w:rPr>
            <w:noProof/>
            <w:webHidden/>
            <w:rtl/>
          </w:rPr>
          <w:instrText xml:space="preserve"> </w:instrText>
        </w:r>
        <w:r w:rsidR="00C453B4">
          <w:rPr>
            <w:rStyle w:val="Hyperlink"/>
            <w:noProof/>
            <w:rtl/>
          </w:rPr>
        </w:r>
        <w:r w:rsidR="00C453B4">
          <w:rPr>
            <w:rStyle w:val="Hyperlink"/>
            <w:noProof/>
            <w:rtl/>
          </w:rPr>
          <w:fldChar w:fldCharType="separate"/>
        </w:r>
        <w:r w:rsidR="00C453B4">
          <w:rPr>
            <w:noProof/>
            <w:webHidden/>
            <w:rtl/>
          </w:rPr>
          <w:t>3</w:t>
        </w:r>
        <w:r w:rsidR="00C453B4">
          <w:rPr>
            <w:rStyle w:val="Hyperlink"/>
            <w:noProof/>
            <w:rtl/>
          </w:rPr>
          <w:fldChar w:fldCharType="end"/>
        </w:r>
      </w:hyperlink>
    </w:p>
    <w:p w:rsidR="00C453B4" w:rsidRDefault="00EB54E1">
      <w:pPr>
        <w:pStyle w:val="TOC2"/>
        <w:rPr>
          <w:rFonts w:asciiTheme="minorHAnsi" w:eastAsiaTheme="minorEastAsia" w:hAnsiTheme="minorHAnsi" w:cstheme="minorBidi"/>
          <w:noProof/>
          <w:sz w:val="22"/>
          <w:rtl/>
        </w:rPr>
      </w:pPr>
      <w:hyperlink w:anchor="_Toc128074544" w:history="1">
        <w:r w:rsidR="00C453B4" w:rsidRPr="00902577">
          <w:rPr>
            <w:rStyle w:val="Hyperlink"/>
            <w:noProof/>
            <w:rtl/>
          </w:rPr>
          <w:t>דברי הסבר</w:t>
        </w:r>
        <w:r w:rsidR="00C453B4">
          <w:rPr>
            <w:noProof/>
            <w:webHidden/>
            <w:rtl/>
          </w:rPr>
          <w:tab/>
        </w:r>
        <w:r w:rsidR="00C453B4">
          <w:rPr>
            <w:rStyle w:val="Hyperlink"/>
            <w:noProof/>
            <w:rtl/>
          </w:rPr>
          <w:fldChar w:fldCharType="begin"/>
        </w:r>
        <w:r w:rsidR="00C453B4">
          <w:rPr>
            <w:noProof/>
            <w:webHidden/>
            <w:rtl/>
          </w:rPr>
          <w:instrText xml:space="preserve"> </w:instrText>
        </w:r>
        <w:r w:rsidR="00C453B4">
          <w:rPr>
            <w:noProof/>
            <w:webHidden/>
          </w:rPr>
          <w:instrText>PAGEREF</w:instrText>
        </w:r>
        <w:r w:rsidR="00C453B4">
          <w:rPr>
            <w:noProof/>
            <w:webHidden/>
            <w:rtl/>
          </w:rPr>
          <w:instrText xml:space="preserve"> _</w:instrText>
        </w:r>
        <w:r w:rsidR="00C453B4">
          <w:rPr>
            <w:noProof/>
            <w:webHidden/>
          </w:rPr>
          <w:instrText>Toc128074544 \h</w:instrText>
        </w:r>
        <w:r w:rsidR="00C453B4">
          <w:rPr>
            <w:noProof/>
            <w:webHidden/>
            <w:rtl/>
          </w:rPr>
          <w:instrText xml:space="preserve"> </w:instrText>
        </w:r>
        <w:r w:rsidR="00C453B4">
          <w:rPr>
            <w:rStyle w:val="Hyperlink"/>
            <w:noProof/>
            <w:rtl/>
          </w:rPr>
        </w:r>
        <w:r w:rsidR="00C453B4">
          <w:rPr>
            <w:rStyle w:val="Hyperlink"/>
            <w:noProof/>
            <w:rtl/>
          </w:rPr>
          <w:fldChar w:fldCharType="separate"/>
        </w:r>
        <w:r w:rsidR="00C453B4">
          <w:rPr>
            <w:noProof/>
            <w:webHidden/>
            <w:rtl/>
          </w:rPr>
          <w:t>7</w:t>
        </w:r>
        <w:r w:rsidR="00C453B4">
          <w:rPr>
            <w:rStyle w:val="Hyperlink"/>
            <w:noProof/>
            <w:rtl/>
          </w:rPr>
          <w:fldChar w:fldCharType="end"/>
        </w:r>
      </w:hyperlink>
    </w:p>
    <w:p w:rsidR="00EB67E9" w:rsidRDefault="00EB67E9" w:rsidP="00EB67E9">
      <w:pPr>
        <w:rPr>
          <w:snapToGrid w:val="0"/>
          <w:rtl/>
        </w:rPr>
      </w:pPr>
      <w:r>
        <w:rPr>
          <w:rtl/>
        </w:rPr>
        <w:fldChar w:fldCharType="end"/>
      </w:r>
      <w:r>
        <w:rPr>
          <w:rtl/>
        </w:rPr>
        <w:br w:type="page"/>
      </w:r>
    </w:p>
    <w:p w:rsidR="00287C7A" w:rsidRPr="005B0D92" w:rsidRDefault="00287C7A" w:rsidP="00E30D75">
      <w:pPr>
        <w:jc w:val="center"/>
        <w:rPr>
          <w:sz w:val="28"/>
          <w:szCs w:val="28"/>
          <w:rtl/>
        </w:rPr>
      </w:pPr>
      <w:bookmarkStart w:id="1" w:name="_Toc57284965"/>
      <w:bookmarkStart w:id="2" w:name="_Toc57285285"/>
      <w:bookmarkStart w:id="3" w:name="_Toc57539221"/>
      <w:bookmarkStart w:id="4" w:name="_Toc57541933"/>
      <w:bookmarkStart w:id="5" w:name="_Toc91062300"/>
      <w:bookmarkStart w:id="6" w:name="_Toc128074535"/>
      <w:r w:rsidRPr="005B0D92">
        <w:rPr>
          <w:b/>
          <w:bCs/>
          <w:sz w:val="28"/>
          <w:szCs w:val="28"/>
          <w:rtl/>
        </w:rPr>
        <w:lastRenderedPageBreak/>
        <w:t>תזכיר חוק ה</w:t>
      </w:r>
      <w:r>
        <w:rPr>
          <w:rFonts w:hint="cs"/>
          <w:b/>
          <w:bCs/>
          <w:sz w:val="28"/>
          <w:szCs w:val="28"/>
          <w:rtl/>
        </w:rPr>
        <w:t>תכנית</w:t>
      </w:r>
      <w:r w:rsidRPr="005B0D92">
        <w:rPr>
          <w:b/>
          <w:bCs/>
          <w:sz w:val="28"/>
          <w:szCs w:val="28"/>
          <w:rtl/>
        </w:rPr>
        <w:t xml:space="preserve"> הכלכלית (תיקוני חקיקה </w:t>
      </w:r>
      <w:r w:rsidR="00E30D75" w:rsidRPr="00EB54E1">
        <w:rPr>
          <w:b/>
          <w:bCs/>
          <w:sz w:val="28"/>
          <w:szCs w:val="28"/>
          <w:rtl/>
        </w:rPr>
        <w:t xml:space="preserve">ליישום המדיניות הכלכלית </w:t>
      </w:r>
      <w:r w:rsidRPr="005B0D92">
        <w:rPr>
          <w:rFonts w:hint="cs"/>
          <w:b/>
          <w:bCs/>
          <w:sz w:val="28"/>
          <w:szCs w:val="28"/>
          <w:rtl/>
        </w:rPr>
        <w:t xml:space="preserve">לשנות </w:t>
      </w:r>
      <w:r w:rsidRPr="005B0D92">
        <w:rPr>
          <w:b/>
          <w:bCs/>
          <w:sz w:val="28"/>
          <w:szCs w:val="28"/>
          <w:rtl/>
        </w:rPr>
        <w:t>התקציב 202</w:t>
      </w:r>
      <w:r w:rsidRPr="005B0D92">
        <w:rPr>
          <w:rFonts w:hint="cs"/>
          <w:b/>
          <w:bCs/>
          <w:sz w:val="28"/>
          <w:szCs w:val="28"/>
          <w:rtl/>
        </w:rPr>
        <w:t>3</w:t>
      </w:r>
      <w:r w:rsidRPr="005B0D92">
        <w:rPr>
          <w:b/>
          <w:bCs/>
          <w:sz w:val="28"/>
          <w:szCs w:val="28"/>
          <w:rtl/>
        </w:rPr>
        <w:t xml:space="preserve"> ו-202</w:t>
      </w:r>
      <w:r w:rsidRPr="005B0D92">
        <w:rPr>
          <w:rFonts w:hint="cs"/>
          <w:b/>
          <w:bCs/>
          <w:sz w:val="28"/>
          <w:szCs w:val="28"/>
          <w:rtl/>
        </w:rPr>
        <w:t>4</w:t>
      </w:r>
      <w:r w:rsidRPr="005B0D92">
        <w:rPr>
          <w:b/>
          <w:bCs/>
          <w:sz w:val="28"/>
          <w:szCs w:val="28"/>
          <w:rtl/>
        </w:rPr>
        <w:t>), התשפ"</w:t>
      </w:r>
      <w:r w:rsidRPr="005B0D92">
        <w:rPr>
          <w:rFonts w:hint="cs"/>
          <w:b/>
          <w:bCs/>
          <w:sz w:val="28"/>
          <w:szCs w:val="28"/>
          <w:rtl/>
        </w:rPr>
        <w:t>ג</w:t>
      </w:r>
      <w:r w:rsidRPr="005B0D92">
        <w:rPr>
          <w:b/>
          <w:bCs/>
          <w:sz w:val="28"/>
          <w:szCs w:val="28"/>
          <w:rtl/>
        </w:rPr>
        <w:t>-202</w:t>
      </w:r>
      <w:r w:rsidRPr="005B0D92">
        <w:rPr>
          <w:rFonts w:hint="cs"/>
          <w:b/>
          <w:bCs/>
          <w:sz w:val="28"/>
          <w:szCs w:val="28"/>
          <w:rtl/>
        </w:rPr>
        <w:t xml:space="preserve">3, </w:t>
      </w:r>
      <w:r w:rsidR="00DC2A92" w:rsidRPr="00DC2A92">
        <w:rPr>
          <w:b/>
          <w:bCs/>
          <w:sz w:val="28"/>
          <w:szCs w:val="28"/>
          <w:rtl/>
        </w:rPr>
        <w:t xml:space="preserve">פרק </w:t>
      </w:r>
      <w:r w:rsidR="00E30D75">
        <w:rPr>
          <w:rFonts w:hint="cs"/>
          <w:b/>
          <w:bCs/>
          <w:sz w:val="28"/>
          <w:szCs w:val="28"/>
          <w:rtl/>
        </w:rPr>
        <w:t xml:space="preserve">___ : </w:t>
      </w:r>
      <w:r w:rsidR="00DC2A92" w:rsidRPr="00DC2A92">
        <w:rPr>
          <w:b/>
          <w:bCs/>
          <w:sz w:val="28"/>
          <w:szCs w:val="28"/>
          <w:rtl/>
        </w:rPr>
        <w:t xml:space="preserve">התחדשות עירונית </w:t>
      </w:r>
      <w:r w:rsidR="00E30D75">
        <w:rPr>
          <w:rFonts w:hint="cs"/>
          <w:b/>
          <w:bCs/>
          <w:sz w:val="28"/>
          <w:szCs w:val="28"/>
          <w:rtl/>
        </w:rPr>
        <w:t>(</w:t>
      </w:r>
      <w:r w:rsidR="00DC2A92" w:rsidRPr="00DC2A92">
        <w:rPr>
          <w:b/>
          <w:bCs/>
          <w:sz w:val="28"/>
          <w:szCs w:val="28"/>
          <w:rtl/>
        </w:rPr>
        <w:t>חלק א'</w:t>
      </w:r>
      <w:r w:rsidR="00E30D75">
        <w:rPr>
          <w:rFonts w:hint="cs"/>
          <w:b/>
          <w:bCs/>
          <w:sz w:val="28"/>
          <w:szCs w:val="28"/>
          <w:rtl/>
        </w:rPr>
        <w:t>)</w:t>
      </w:r>
    </w:p>
    <w:p w:rsidR="00287C7A" w:rsidRPr="00CD1A69" w:rsidRDefault="00287C7A" w:rsidP="00287C7A">
      <w:pPr>
        <w:rPr>
          <w:sz w:val="28"/>
          <w:szCs w:val="28"/>
          <w:rtl/>
        </w:rPr>
      </w:pPr>
    </w:p>
    <w:p w:rsidR="00287C7A" w:rsidRPr="00995E17" w:rsidRDefault="00287C7A" w:rsidP="00EB54E1">
      <w:pPr>
        <w:rPr>
          <w:rFonts w:ascii="Hadasa Roso SL" w:eastAsia="MS Mincho" w:hAnsi="Hadasa Roso SL"/>
          <w:color w:val="000000"/>
          <w:spacing w:val="1"/>
          <w:sz w:val="26"/>
          <w:szCs w:val="26"/>
          <w:lang w:eastAsia="ja-JP"/>
        </w:rPr>
      </w:pPr>
      <w:r w:rsidRPr="00995E17">
        <w:rPr>
          <w:sz w:val="26"/>
          <w:szCs w:val="26"/>
          <w:rtl/>
        </w:rPr>
        <w:t>תזכיר זה מיישם את החלטות הממשלה מיום 23 בפברואר 2023, והוא צפוי לעלות על סדר יומה של ועדת השרים המיוחדת לעניין התכנית הכלכלית לשנים 2023 ו-2024, לאחר המועד האחרון למתן הערות הציבור.</w:t>
      </w:r>
    </w:p>
    <w:bookmarkEnd w:id="1"/>
    <w:bookmarkEnd w:id="2"/>
    <w:bookmarkEnd w:id="3"/>
    <w:bookmarkEnd w:id="4"/>
    <w:bookmarkEnd w:id="5"/>
    <w:bookmarkEnd w:id="6"/>
    <w:p w:rsidR="00E61031" w:rsidRPr="00E30D75" w:rsidRDefault="00E61031" w:rsidP="00E61031">
      <w:pPr>
        <w:rPr>
          <w:rFonts w:asciiTheme="majorHAnsi" w:eastAsiaTheme="majorEastAsia" w:hAnsiTheme="majorHAnsi"/>
          <w:bCs/>
          <w:sz w:val="32"/>
          <w:szCs w:val="36"/>
          <w:rtl/>
        </w:rPr>
      </w:pPr>
    </w:p>
    <w:p w:rsidR="008E2A23" w:rsidRPr="008E2A23" w:rsidRDefault="008E2A23" w:rsidP="00D7530F">
      <w:pPr>
        <w:pStyle w:val="4"/>
      </w:pPr>
      <w:bookmarkStart w:id="7" w:name="_Toc57284966"/>
      <w:bookmarkStart w:id="8" w:name="_Toc57285286"/>
      <w:bookmarkStart w:id="9" w:name="_Toc57539222"/>
      <w:bookmarkStart w:id="10" w:name="_Toc57541934"/>
      <w:bookmarkStart w:id="11" w:name="_Toc128074536"/>
      <w:r w:rsidRPr="008E2A23">
        <w:rPr>
          <w:rFonts w:hint="cs"/>
          <w:rtl/>
        </w:rPr>
        <w:t>שם החוק המוצע</w:t>
      </w:r>
      <w:bookmarkEnd w:id="7"/>
      <w:bookmarkEnd w:id="8"/>
      <w:bookmarkEnd w:id="9"/>
      <w:bookmarkEnd w:id="10"/>
      <w:bookmarkEnd w:id="11"/>
    </w:p>
    <w:p w:rsidR="008E2A23" w:rsidRPr="00EB54E1" w:rsidRDefault="00A915F8" w:rsidP="00EB54E1">
      <w:pPr>
        <w:rPr>
          <w:sz w:val="26"/>
          <w:szCs w:val="26"/>
          <w:rtl/>
        </w:rPr>
      </w:pPr>
      <w:r w:rsidRPr="00EB54E1">
        <w:rPr>
          <w:sz w:val="26"/>
          <w:szCs w:val="26"/>
          <w:rtl/>
        </w:rPr>
        <w:t>חוק התוכנית הכלכלית (תיקוני חקיקה ליישום המדיניות הכלכלית לשנ</w:t>
      </w:r>
      <w:r w:rsidRPr="00EB54E1">
        <w:rPr>
          <w:rFonts w:hint="eastAsia"/>
          <w:sz w:val="26"/>
          <w:szCs w:val="26"/>
          <w:rtl/>
        </w:rPr>
        <w:t>ו</w:t>
      </w:r>
      <w:r w:rsidRPr="00EB54E1">
        <w:rPr>
          <w:sz w:val="26"/>
          <w:szCs w:val="26"/>
          <w:rtl/>
        </w:rPr>
        <w:t>ת התקציב 2023 ו-2024), התשפ"</w:t>
      </w:r>
      <w:r w:rsidRPr="00EB54E1">
        <w:rPr>
          <w:rFonts w:hint="eastAsia"/>
          <w:sz w:val="26"/>
          <w:szCs w:val="26"/>
          <w:rtl/>
        </w:rPr>
        <w:t>ג</w:t>
      </w:r>
      <w:r w:rsidRPr="00EB54E1">
        <w:rPr>
          <w:sz w:val="26"/>
          <w:szCs w:val="26"/>
          <w:rtl/>
        </w:rPr>
        <w:t xml:space="preserve">-2023, פרק </w:t>
      </w:r>
      <w:r w:rsidR="00E30D75">
        <w:rPr>
          <w:rFonts w:hint="cs"/>
          <w:sz w:val="26"/>
          <w:szCs w:val="26"/>
          <w:rtl/>
        </w:rPr>
        <w:t xml:space="preserve">___: </w:t>
      </w:r>
      <w:r w:rsidR="00DF2CB8" w:rsidRPr="00EB54E1">
        <w:rPr>
          <w:sz w:val="26"/>
          <w:szCs w:val="26"/>
          <w:rtl/>
        </w:rPr>
        <w:t xml:space="preserve">התחדשות עירונית </w:t>
      </w:r>
      <w:r w:rsidR="00E30D75">
        <w:rPr>
          <w:rFonts w:hint="cs"/>
          <w:sz w:val="26"/>
          <w:szCs w:val="26"/>
          <w:rtl/>
        </w:rPr>
        <w:t>(</w:t>
      </w:r>
      <w:r w:rsidR="00DF2CB8" w:rsidRPr="00EB54E1">
        <w:rPr>
          <w:sz w:val="26"/>
          <w:szCs w:val="26"/>
          <w:rtl/>
        </w:rPr>
        <w:t>חלק א'</w:t>
      </w:r>
      <w:r w:rsidR="00E30D75">
        <w:rPr>
          <w:rFonts w:hint="cs"/>
          <w:sz w:val="26"/>
          <w:szCs w:val="26"/>
          <w:rtl/>
        </w:rPr>
        <w:t>).</w:t>
      </w:r>
      <w:r w:rsidRPr="00EB54E1">
        <w:rPr>
          <w:sz w:val="26"/>
          <w:szCs w:val="26"/>
          <w:rtl/>
        </w:rPr>
        <w:t xml:space="preserve"> </w:t>
      </w:r>
    </w:p>
    <w:p w:rsidR="008E2A23" w:rsidRPr="00EB54E1" w:rsidRDefault="008E2A23" w:rsidP="00EB54E1">
      <w:pPr>
        <w:ind w:left="624"/>
        <w:rPr>
          <w:sz w:val="26"/>
          <w:szCs w:val="26"/>
          <w:rtl/>
        </w:rPr>
      </w:pPr>
    </w:p>
    <w:p w:rsidR="008E2A23" w:rsidRPr="008E2A23" w:rsidRDefault="008E2A23" w:rsidP="00741367">
      <w:pPr>
        <w:pStyle w:val="4"/>
        <w:rPr>
          <w:rtl/>
        </w:rPr>
      </w:pPr>
      <w:bookmarkStart w:id="12" w:name="_Toc57284967"/>
      <w:bookmarkStart w:id="13" w:name="_Toc57285287"/>
      <w:bookmarkStart w:id="14" w:name="_Toc57539223"/>
      <w:bookmarkStart w:id="15" w:name="_Toc57541935"/>
      <w:bookmarkStart w:id="16" w:name="_Toc128074537"/>
      <w:r w:rsidRPr="008E2A23">
        <w:rPr>
          <w:rFonts w:hint="cs"/>
          <w:rtl/>
        </w:rPr>
        <w:t>מטרת החוק המוצע</w:t>
      </w:r>
      <w:r w:rsidR="00DC2A92">
        <w:rPr>
          <w:rFonts w:hint="cs"/>
          <w:rtl/>
        </w:rPr>
        <w:t>,</w:t>
      </w:r>
      <w:r w:rsidRPr="008E2A23">
        <w:rPr>
          <w:rFonts w:hint="cs"/>
          <w:rtl/>
        </w:rPr>
        <w:t xml:space="preserve"> </w:t>
      </w:r>
      <w:r w:rsidR="00DC2A92" w:rsidRPr="000E0FF2">
        <w:rPr>
          <w:rtl/>
        </w:rPr>
        <w:t>הצורך בו</w:t>
      </w:r>
      <w:r w:rsidR="00DC2A92" w:rsidRPr="000E0FF2">
        <w:rPr>
          <w:rFonts w:hint="cs"/>
          <w:rtl/>
        </w:rPr>
        <w:t xml:space="preserve"> ועיקרי החוק המוצע</w:t>
      </w:r>
      <w:r w:rsidR="00DC2A92" w:rsidRPr="008E2A23" w:rsidDel="00DC2A92">
        <w:rPr>
          <w:rFonts w:hint="cs"/>
          <w:rtl/>
        </w:rPr>
        <w:t xml:space="preserve"> </w:t>
      </w:r>
      <w:bookmarkEnd w:id="12"/>
      <w:bookmarkEnd w:id="13"/>
      <w:bookmarkEnd w:id="14"/>
      <w:bookmarkEnd w:id="15"/>
      <w:bookmarkEnd w:id="16"/>
    </w:p>
    <w:p w:rsidR="008E2A23" w:rsidRPr="008E2A23" w:rsidRDefault="008E2A23" w:rsidP="008E2A23">
      <w:pPr>
        <w:rPr>
          <w:rtl/>
        </w:rPr>
      </w:pPr>
    </w:p>
    <w:p w:rsidR="008908EE" w:rsidRPr="00EB54E1" w:rsidRDefault="00454B35" w:rsidP="00EB54E1">
      <w:pPr>
        <w:rPr>
          <w:sz w:val="26"/>
          <w:rtl/>
        </w:rPr>
      </w:pPr>
      <w:r w:rsidRPr="00EB54E1">
        <w:rPr>
          <w:rFonts w:hint="eastAsia"/>
          <w:sz w:val="26"/>
          <w:szCs w:val="26"/>
          <w:rtl/>
        </w:rPr>
        <w:t>לשם</w:t>
      </w:r>
      <w:r w:rsidRPr="00EB54E1">
        <w:rPr>
          <w:sz w:val="26"/>
          <w:szCs w:val="26"/>
          <w:rtl/>
        </w:rPr>
        <w:t xml:space="preserve"> </w:t>
      </w:r>
      <w:r w:rsidR="006F7089" w:rsidRPr="00EB54E1">
        <w:rPr>
          <w:rFonts w:hint="eastAsia"/>
          <w:sz w:val="26"/>
          <w:szCs w:val="26"/>
          <w:rtl/>
        </w:rPr>
        <w:t>התמודדות</w:t>
      </w:r>
      <w:r w:rsidR="006F7089" w:rsidRPr="00EB54E1">
        <w:rPr>
          <w:sz w:val="26"/>
          <w:szCs w:val="26"/>
          <w:rtl/>
        </w:rPr>
        <w:t xml:space="preserve"> </w:t>
      </w:r>
      <w:r w:rsidR="006F7089" w:rsidRPr="00EB54E1">
        <w:rPr>
          <w:rFonts w:hint="eastAsia"/>
          <w:sz w:val="26"/>
          <w:szCs w:val="26"/>
          <w:rtl/>
        </w:rPr>
        <w:t>עם</w:t>
      </w:r>
      <w:r w:rsidR="006F7089" w:rsidRPr="00EB54E1">
        <w:rPr>
          <w:sz w:val="26"/>
          <w:szCs w:val="26"/>
          <w:rtl/>
        </w:rPr>
        <w:t xml:space="preserve"> </w:t>
      </w:r>
      <w:r w:rsidR="006F7089" w:rsidRPr="00EB54E1">
        <w:rPr>
          <w:rFonts w:hint="eastAsia"/>
          <w:sz w:val="26"/>
          <w:szCs w:val="26"/>
          <w:rtl/>
        </w:rPr>
        <w:t>משבר</w:t>
      </w:r>
      <w:r w:rsidR="006F7089" w:rsidRPr="00EB54E1">
        <w:rPr>
          <w:sz w:val="26"/>
          <w:szCs w:val="26"/>
          <w:rtl/>
        </w:rPr>
        <w:t xml:space="preserve"> </w:t>
      </w:r>
      <w:r w:rsidR="006F7089" w:rsidRPr="00EB54E1">
        <w:rPr>
          <w:rFonts w:hint="eastAsia"/>
          <w:sz w:val="26"/>
          <w:szCs w:val="26"/>
          <w:rtl/>
        </w:rPr>
        <w:t>הדיור</w:t>
      </w:r>
      <w:r w:rsidRPr="00EB54E1">
        <w:rPr>
          <w:sz w:val="26"/>
          <w:szCs w:val="26"/>
          <w:rtl/>
        </w:rPr>
        <w:t xml:space="preserve"> ויצירת אלפי יחידות דיור בטווח הקצר</w:t>
      </w:r>
      <w:r w:rsidR="006F7089" w:rsidRPr="00EB54E1">
        <w:rPr>
          <w:sz w:val="26"/>
          <w:szCs w:val="26"/>
          <w:rtl/>
        </w:rPr>
        <w:t xml:space="preserve">, </w:t>
      </w:r>
      <w:r w:rsidR="0070397A" w:rsidRPr="00EB54E1">
        <w:rPr>
          <w:rFonts w:hint="eastAsia"/>
          <w:sz w:val="26"/>
          <w:szCs w:val="26"/>
          <w:rtl/>
        </w:rPr>
        <w:t>מוצע</w:t>
      </w:r>
      <w:r w:rsidR="0070397A" w:rsidRPr="00EB54E1">
        <w:rPr>
          <w:sz w:val="26"/>
          <w:szCs w:val="26"/>
          <w:rtl/>
        </w:rPr>
        <w:t xml:space="preserve"> </w:t>
      </w:r>
      <w:r w:rsidR="00AD77DB" w:rsidRPr="00EB54E1">
        <w:rPr>
          <w:rFonts w:hint="eastAsia"/>
          <w:sz w:val="26"/>
          <w:szCs w:val="26"/>
          <w:rtl/>
        </w:rPr>
        <w:t>לחדש</w:t>
      </w:r>
      <w:r w:rsidR="00AD77DB" w:rsidRPr="00EB54E1">
        <w:rPr>
          <w:sz w:val="26"/>
          <w:szCs w:val="26"/>
          <w:rtl/>
        </w:rPr>
        <w:t xml:space="preserve"> </w:t>
      </w:r>
      <w:r w:rsidR="0070397A" w:rsidRPr="00EB54E1">
        <w:rPr>
          <w:rFonts w:hint="eastAsia"/>
          <w:sz w:val="26"/>
          <w:szCs w:val="26"/>
          <w:rtl/>
        </w:rPr>
        <w:t>את</w:t>
      </w:r>
      <w:r w:rsidR="0070397A" w:rsidRPr="00EB54E1">
        <w:rPr>
          <w:sz w:val="26"/>
          <w:szCs w:val="26"/>
          <w:rtl/>
        </w:rPr>
        <w:t xml:space="preserve"> </w:t>
      </w:r>
      <w:r w:rsidR="0070397A" w:rsidRPr="00EB54E1">
        <w:rPr>
          <w:rFonts w:hint="eastAsia"/>
          <w:sz w:val="26"/>
          <w:szCs w:val="26"/>
          <w:rtl/>
        </w:rPr>
        <w:t>הוראת</w:t>
      </w:r>
      <w:r w:rsidR="0070397A" w:rsidRPr="00EB54E1">
        <w:rPr>
          <w:sz w:val="26"/>
          <w:szCs w:val="26"/>
          <w:rtl/>
        </w:rPr>
        <w:t xml:space="preserve"> </w:t>
      </w:r>
      <w:r w:rsidR="0070397A" w:rsidRPr="00EB54E1">
        <w:rPr>
          <w:rFonts w:hint="eastAsia"/>
          <w:sz w:val="26"/>
          <w:szCs w:val="26"/>
          <w:rtl/>
        </w:rPr>
        <w:t>השעה</w:t>
      </w:r>
      <w:r w:rsidR="0070397A" w:rsidRPr="00EB54E1">
        <w:rPr>
          <w:sz w:val="26"/>
          <w:szCs w:val="26"/>
          <w:rtl/>
        </w:rPr>
        <w:t xml:space="preserve"> </w:t>
      </w:r>
      <w:r w:rsidR="0070397A" w:rsidRPr="00EB54E1">
        <w:rPr>
          <w:rFonts w:hint="eastAsia"/>
          <w:sz w:val="26"/>
          <w:szCs w:val="26"/>
          <w:rtl/>
        </w:rPr>
        <w:t>שנקבע</w:t>
      </w:r>
      <w:r w:rsidR="00AD77DB" w:rsidRPr="00EB54E1">
        <w:rPr>
          <w:rFonts w:hint="eastAsia"/>
          <w:sz w:val="26"/>
          <w:szCs w:val="26"/>
          <w:rtl/>
        </w:rPr>
        <w:t>ה</w:t>
      </w:r>
      <w:r w:rsidR="0095698D" w:rsidRPr="00EB54E1">
        <w:rPr>
          <w:sz w:val="26"/>
          <w:szCs w:val="26"/>
          <w:rtl/>
        </w:rPr>
        <w:t xml:space="preserve">, </w:t>
      </w:r>
      <w:r w:rsidR="0095698D" w:rsidRPr="00EB54E1">
        <w:rPr>
          <w:rFonts w:hint="eastAsia"/>
          <w:sz w:val="26"/>
          <w:szCs w:val="26"/>
          <w:rtl/>
        </w:rPr>
        <w:t>במסגרת</w:t>
      </w:r>
      <w:r w:rsidR="0095698D" w:rsidRPr="00EB54E1">
        <w:rPr>
          <w:sz w:val="26"/>
          <w:szCs w:val="26"/>
          <w:rtl/>
        </w:rPr>
        <w:t xml:space="preserve"> </w:t>
      </w:r>
      <w:r w:rsidR="0095698D" w:rsidRPr="00EB54E1">
        <w:rPr>
          <w:rFonts w:hint="eastAsia"/>
          <w:sz w:val="26"/>
          <w:szCs w:val="26"/>
          <w:rtl/>
        </w:rPr>
        <w:t>תיקון</w:t>
      </w:r>
      <w:r w:rsidR="0095698D" w:rsidRPr="00EB54E1">
        <w:rPr>
          <w:sz w:val="26"/>
          <w:szCs w:val="26"/>
          <w:rtl/>
        </w:rPr>
        <w:t xml:space="preserve"> 117 </w:t>
      </w:r>
      <w:r w:rsidR="0095698D" w:rsidRPr="00EB54E1">
        <w:rPr>
          <w:rFonts w:hint="eastAsia"/>
          <w:sz w:val="26"/>
          <w:szCs w:val="26"/>
          <w:rtl/>
        </w:rPr>
        <w:t>לחוק</w:t>
      </w:r>
      <w:r w:rsidR="00A915F8" w:rsidRPr="00EB54E1">
        <w:rPr>
          <w:sz w:val="26"/>
          <w:szCs w:val="26"/>
          <w:rtl/>
        </w:rPr>
        <w:t xml:space="preserve"> התכנון והבניה</w:t>
      </w:r>
      <w:r w:rsidR="0095698D" w:rsidRPr="00EB54E1">
        <w:rPr>
          <w:sz w:val="26"/>
          <w:szCs w:val="26"/>
          <w:rtl/>
        </w:rPr>
        <w:t>,</w:t>
      </w:r>
      <w:r w:rsidR="00E30D75" w:rsidRPr="00EB54E1">
        <w:rPr>
          <w:sz w:val="26"/>
          <w:szCs w:val="26"/>
          <w:rtl/>
        </w:rPr>
        <w:t xml:space="preserve"> התשכ"ה-1965,</w:t>
      </w:r>
      <w:r w:rsidR="0070397A" w:rsidRPr="00EB54E1">
        <w:rPr>
          <w:sz w:val="26"/>
          <w:szCs w:val="26"/>
          <w:rtl/>
        </w:rPr>
        <w:t xml:space="preserve"> בסעיף 147(י) לחוק</w:t>
      </w:r>
      <w:r w:rsidR="00514345" w:rsidRPr="00EB54E1">
        <w:rPr>
          <w:sz w:val="26"/>
          <w:szCs w:val="26"/>
          <w:rtl/>
        </w:rPr>
        <w:t xml:space="preserve">, </w:t>
      </w:r>
      <w:r w:rsidR="00514345" w:rsidRPr="00EB54E1">
        <w:rPr>
          <w:rFonts w:hint="eastAsia"/>
          <w:sz w:val="26"/>
          <w:szCs w:val="26"/>
          <w:rtl/>
        </w:rPr>
        <w:t>לעניין</w:t>
      </w:r>
      <w:r w:rsidR="00514345" w:rsidRPr="00EB54E1">
        <w:rPr>
          <w:sz w:val="26"/>
          <w:szCs w:val="26"/>
          <w:rtl/>
        </w:rPr>
        <w:t xml:space="preserve"> </w:t>
      </w:r>
      <w:r w:rsidR="00514345" w:rsidRPr="00EB54E1">
        <w:rPr>
          <w:rFonts w:hint="eastAsia"/>
          <w:sz w:val="26"/>
          <w:szCs w:val="26"/>
          <w:rtl/>
        </w:rPr>
        <w:t>מתן</w:t>
      </w:r>
      <w:r w:rsidR="00514345" w:rsidRPr="00EB54E1">
        <w:rPr>
          <w:sz w:val="26"/>
          <w:szCs w:val="26"/>
          <w:rtl/>
        </w:rPr>
        <w:t xml:space="preserve"> </w:t>
      </w:r>
      <w:r w:rsidR="00514345" w:rsidRPr="00EB54E1">
        <w:rPr>
          <w:rFonts w:hint="eastAsia"/>
          <w:sz w:val="26"/>
          <w:szCs w:val="26"/>
          <w:rtl/>
        </w:rPr>
        <w:t>הקלה</w:t>
      </w:r>
      <w:r w:rsidR="00514345" w:rsidRPr="00EB54E1">
        <w:rPr>
          <w:sz w:val="26"/>
          <w:szCs w:val="26"/>
          <w:rtl/>
        </w:rPr>
        <w:t xml:space="preserve"> </w:t>
      </w:r>
      <w:r w:rsidR="00514345" w:rsidRPr="00EB54E1">
        <w:rPr>
          <w:rFonts w:hint="eastAsia"/>
          <w:sz w:val="26"/>
          <w:szCs w:val="26"/>
          <w:rtl/>
        </w:rPr>
        <w:t>לפיצול</w:t>
      </w:r>
      <w:r w:rsidR="00514345" w:rsidRPr="00EB54E1">
        <w:rPr>
          <w:sz w:val="26"/>
          <w:szCs w:val="26"/>
          <w:rtl/>
        </w:rPr>
        <w:t xml:space="preserve"> </w:t>
      </w:r>
      <w:r w:rsidR="00514345" w:rsidRPr="00EB54E1">
        <w:rPr>
          <w:rFonts w:hint="eastAsia"/>
          <w:sz w:val="26"/>
          <w:szCs w:val="26"/>
          <w:rtl/>
        </w:rPr>
        <w:t>דיר</w:t>
      </w:r>
      <w:r w:rsidR="006F7089" w:rsidRPr="00EB54E1">
        <w:rPr>
          <w:rFonts w:hint="eastAsia"/>
          <w:sz w:val="26"/>
          <w:szCs w:val="26"/>
          <w:rtl/>
        </w:rPr>
        <w:t>ה</w:t>
      </w:r>
      <w:r w:rsidR="006F7089" w:rsidRPr="00EB54E1">
        <w:rPr>
          <w:sz w:val="26"/>
          <w:szCs w:val="26"/>
          <w:rtl/>
        </w:rPr>
        <w:t xml:space="preserve"> צמודת קרקע </w:t>
      </w:r>
      <w:r w:rsidR="00514345" w:rsidRPr="00EB54E1">
        <w:rPr>
          <w:rFonts w:hint="eastAsia"/>
          <w:sz w:val="26"/>
          <w:szCs w:val="26"/>
          <w:rtl/>
        </w:rPr>
        <w:t>קיימת</w:t>
      </w:r>
      <w:r w:rsidR="00514345" w:rsidRPr="00EB54E1">
        <w:rPr>
          <w:sz w:val="26"/>
          <w:szCs w:val="26"/>
          <w:rtl/>
        </w:rPr>
        <w:t xml:space="preserve">, </w:t>
      </w:r>
      <w:r w:rsidR="00AD77DB" w:rsidRPr="00EB54E1">
        <w:rPr>
          <w:rFonts w:hint="eastAsia"/>
          <w:sz w:val="26"/>
          <w:szCs w:val="26"/>
          <w:rtl/>
        </w:rPr>
        <w:t>למשך</w:t>
      </w:r>
      <w:r w:rsidR="00AD77DB" w:rsidRPr="00EB54E1">
        <w:rPr>
          <w:sz w:val="26"/>
          <w:szCs w:val="26"/>
          <w:rtl/>
        </w:rPr>
        <w:t xml:space="preserve"> </w:t>
      </w:r>
      <w:r w:rsidR="00F244D9" w:rsidRPr="00EB54E1">
        <w:rPr>
          <w:rFonts w:hint="eastAsia"/>
          <w:sz w:val="26"/>
          <w:szCs w:val="26"/>
          <w:rtl/>
        </w:rPr>
        <w:t>שנתיים</w:t>
      </w:r>
      <w:r w:rsidR="00514345" w:rsidRPr="00EB54E1">
        <w:rPr>
          <w:sz w:val="26"/>
          <w:szCs w:val="26"/>
          <w:rtl/>
        </w:rPr>
        <w:t xml:space="preserve"> </w:t>
      </w:r>
      <w:r w:rsidR="00AD77DB" w:rsidRPr="00EB54E1">
        <w:rPr>
          <w:rFonts w:hint="eastAsia"/>
          <w:sz w:val="26"/>
          <w:szCs w:val="26"/>
          <w:rtl/>
        </w:rPr>
        <w:t>מיום</w:t>
      </w:r>
      <w:r w:rsidR="00AD77DB" w:rsidRPr="00EB54E1">
        <w:rPr>
          <w:sz w:val="26"/>
          <w:szCs w:val="26"/>
          <w:rtl/>
        </w:rPr>
        <w:t xml:space="preserve"> </w:t>
      </w:r>
      <w:r w:rsidR="00AD77DB" w:rsidRPr="00EB54E1">
        <w:rPr>
          <w:rFonts w:hint="eastAsia"/>
          <w:sz w:val="26"/>
          <w:szCs w:val="26"/>
          <w:rtl/>
        </w:rPr>
        <w:t>כניסתו</w:t>
      </w:r>
      <w:r w:rsidR="00AD77DB" w:rsidRPr="00EB54E1">
        <w:rPr>
          <w:sz w:val="26"/>
          <w:szCs w:val="26"/>
          <w:rtl/>
        </w:rPr>
        <w:t xml:space="preserve"> </w:t>
      </w:r>
      <w:r w:rsidR="00AD77DB" w:rsidRPr="00EB54E1">
        <w:rPr>
          <w:rFonts w:hint="eastAsia"/>
          <w:sz w:val="26"/>
          <w:szCs w:val="26"/>
          <w:rtl/>
        </w:rPr>
        <w:t>של</w:t>
      </w:r>
      <w:r w:rsidR="00AD77DB" w:rsidRPr="00EB54E1">
        <w:rPr>
          <w:sz w:val="26"/>
          <w:szCs w:val="26"/>
          <w:rtl/>
        </w:rPr>
        <w:t xml:space="preserve"> </w:t>
      </w:r>
      <w:r w:rsidR="00AD77DB" w:rsidRPr="00EB54E1">
        <w:rPr>
          <w:rFonts w:hint="eastAsia"/>
          <w:sz w:val="26"/>
          <w:szCs w:val="26"/>
          <w:rtl/>
        </w:rPr>
        <w:t>תיקון</w:t>
      </w:r>
      <w:r w:rsidR="00AD77DB" w:rsidRPr="00EB54E1">
        <w:rPr>
          <w:sz w:val="26"/>
          <w:szCs w:val="26"/>
          <w:rtl/>
        </w:rPr>
        <w:t xml:space="preserve"> </w:t>
      </w:r>
      <w:r w:rsidR="00AD77DB" w:rsidRPr="00EB54E1">
        <w:rPr>
          <w:rFonts w:hint="eastAsia"/>
          <w:sz w:val="26"/>
          <w:szCs w:val="26"/>
          <w:rtl/>
        </w:rPr>
        <w:t>חקיקה</w:t>
      </w:r>
      <w:r w:rsidR="00AD77DB" w:rsidRPr="00EB54E1">
        <w:rPr>
          <w:sz w:val="26"/>
          <w:szCs w:val="26"/>
          <w:rtl/>
        </w:rPr>
        <w:t xml:space="preserve"> </w:t>
      </w:r>
      <w:r w:rsidR="00AD77DB" w:rsidRPr="00EB54E1">
        <w:rPr>
          <w:rFonts w:hint="eastAsia"/>
          <w:sz w:val="26"/>
          <w:szCs w:val="26"/>
          <w:rtl/>
        </w:rPr>
        <w:t>זה</w:t>
      </w:r>
      <w:r w:rsidR="00AD77DB" w:rsidRPr="00EB54E1">
        <w:rPr>
          <w:sz w:val="26"/>
          <w:szCs w:val="26"/>
          <w:rtl/>
        </w:rPr>
        <w:t xml:space="preserve"> </w:t>
      </w:r>
      <w:r w:rsidR="00AD77DB" w:rsidRPr="00EB54E1">
        <w:rPr>
          <w:rFonts w:hint="eastAsia"/>
          <w:sz w:val="26"/>
          <w:szCs w:val="26"/>
          <w:rtl/>
        </w:rPr>
        <w:t>לתוקף</w:t>
      </w:r>
      <w:r w:rsidR="00514345" w:rsidRPr="00EB54E1">
        <w:rPr>
          <w:sz w:val="26"/>
          <w:szCs w:val="26"/>
          <w:rtl/>
        </w:rPr>
        <w:t xml:space="preserve">. בנוסף, מוצע לאפשר במסגרת הקלה כאמור, </w:t>
      </w:r>
      <w:r w:rsidR="008908EE" w:rsidRPr="00EB54E1">
        <w:rPr>
          <w:rFonts w:hint="eastAsia"/>
          <w:sz w:val="26"/>
          <w:szCs w:val="26"/>
          <w:rtl/>
        </w:rPr>
        <w:t>לאשר</w:t>
      </w:r>
      <w:r w:rsidR="008908EE" w:rsidRPr="00EB54E1">
        <w:rPr>
          <w:sz w:val="26"/>
          <w:szCs w:val="26"/>
          <w:rtl/>
        </w:rPr>
        <w:t xml:space="preserve"> גם תוספת שטחי בניה לצורך </w:t>
      </w:r>
      <w:r w:rsidR="006F7089" w:rsidRPr="00EB54E1">
        <w:rPr>
          <w:rFonts w:hint="eastAsia"/>
          <w:sz w:val="26"/>
          <w:szCs w:val="26"/>
          <w:rtl/>
        </w:rPr>
        <w:t>הוספת</w:t>
      </w:r>
      <w:r w:rsidR="006F7089" w:rsidRPr="00EB54E1">
        <w:rPr>
          <w:sz w:val="26"/>
          <w:szCs w:val="26"/>
          <w:rtl/>
        </w:rPr>
        <w:t xml:space="preserve"> </w:t>
      </w:r>
      <w:r w:rsidR="006F7089" w:rsidRPr="00EB54E1">
        <w:rPr>
          <w:rFonts w:hint="eastAsia"/>
          <w:sz w:val="26"/>
          <w:szCs w:val="26"/>
          <w:rtl/>
        </w:rPr>
        <w:t>יחידת</w:t>
      </w:r>
      <w:r w:rsidR="006F7089" w:rsidRPr="00EB54E1">
        <w:rPr>
          <w:sz w:val="26"/>
          <w:szCs w:val="26"/>
          <w:rtl/>
        </w:rPr>
        <w:t xml:space="preserve"> </w:t>
      </w:r>
      <w:r w:rsidR="006F7089" w:rsidRPr="00EB54E1">
        <w:rPr>
          <w:rFonts w:hint="eastAsia"/>
          <w:sz w:val="26"/>
          <w:szCs w:val="26"/>
          <w:rtl/>
        </w:rPr>
        <w:t>דיור</w:t>
      </w:r>
      <w:r w:rsidR="006F7089" w:rsidRPr="00EB54E1">
        <w:rPr>
          <w:sz w:val="26"/>
          <w:szCs w:val="26"/>
          <w:rtl/>
        </w:rPr>
        <w:t>,</w:t>
      </w:r>
      <w:r w:rsidR="008908EE" w:rsidRPr="00EB54E1">
        <w:rPr>
          <w:sz w:val="26"/>
          <w:szCs w:val="26"/>
          <w:rtl/>
        </w:rPr>
        <w:t xml:space="preserve"> בהיקף של עד 45 מ"ר</w:t>
      </w:r>
      <w:r w:rsidR="00E30D75" w:rsidRPr="00EB54E1">
        <w:rPr>
          <w:sz w:val="26"/>
          <w:szCs w:val="26"/>
          <w:rtl/>
        </w:rPr>
        <w:t xml:space="preserve">, </w:t>
      </w:r>
      <w:r w:rsidR="008908EE" w:rsidRPr="00EB54E1">
        <w:rPr>
          <w:rFonts w:hint="eastAsia"/>
          <w:sz w:val="26"/>
          <w:szCs w:val="26"/>
          <w:rtl/>
        </w:rPr>
        <w:t>והכל</w:t>
      </w:r>
      <w:r w:rsidR="008908EE" w:rsidRPr="00EB54E1">
        <w:rPr>
          <w:sz w:val="26"/>
          <w:szCs w:val="26"/>
          <w:rtl/>
        </w:rPr>
        <w:t xml:space="preserve"> </w:t>
      </w:r>
      <w:r w:rsidR="008908EE" w:rsidRPr="00EB54E1">
        <w:rPr>
          <w:rFonts w:hint="eastAsia"/>
          <w:sz w:val="26"/>
          <w:szCs w:val="26"/>
          <w:rtl/>
        </w:rPr>
        <w:t>כמפורט</w:t>
      </w:r>
      <w:r w:rsidR="008908EE" w:rsidRPr="00EB54E1">
        <w:rPr>
          <w:sz w:val="26"/>
          <w:szCs w:val="26"/>
          <w:rtl/>
        </w:rPr>
        <w:t xml:space="preserve"> </w:t>
      </w:r>
      <w:r w:rsidR="008908EE" w:rsidRPr="00EB54E1">
        <w:rPr>
          <w:rFonts w:hint="eastAsia"/>
          <w:sz w:val="26"/>
          <w:szCs w:val="26"/>
          <w:rtl/>
        </w:rPr>
        <w:t>בנוסח</w:t>
      </w:r>
      <w:r w:rsidR="008908EE" w:rsidRPr="00EB54E1">
        <w:rPr>
          <w:sz w:val="26"/>
          <w:szCs w:val="26"/>
          <w:rtl/>
        </w:rPr>
        <w:t xml:space="preserve"> </w:t>
      </w:r>
      <w:r w:rsidR="008908EE" w:rsidRPr="00EB54E1">
        <w:rPr>
          <w:rFonts w:hint="eastAsia"/>
          <w:sz w:val="26"/>
          <w:szCs w:val="26"/>
          <w:rtl/>
        </w:rPr>
        <w:t>הצעת</w:t>
      </w:r>
      <w:r w:rsidR="008908EE" w:rsidRPr="00EB54E1">
        <w:rPr>
          <w:sz w:val="26"/>
          <w:szCs w:val="26"/>
          <w:rtl/>
        </w:rPr>
        <w:t xml:space="preserve"> </w:t>
      </w:r>
      <w:r w:rsidR="008908EE" w:rsidRPr="00EB54E1">
        <w:rPr>
          <w:rFonts w:hint="eastAsia"/>
          <w:sz w:val="26"/>
          <w:szCs w:val="26"/>
          <w:rtl/>
        </w:rPr>
        <w:t>החוק</w:t>
      </w:r>
      <w:r w:rsidR="008908EE" w:rsidRPr="00EB54E1">
        <w:rPr>
          <w:sz w:val="26"/>
          <w:szCs w:val="26"/>
          <w:rtl/>
        </w:rPr>
        <w:t xml:space="preserve"> </w:t>
      </w:r>
      <w:r w:rsidR="008908EE" w:rsidRPr="00EB54E1">
        <w:rPr>
          <w:rFonts w:hint="eastAsia"/>
          <w:sz w:val="26"/>
          <w:szCs w:val="26"/>
          <w:rtl/>
        </w:rPr>
        <w:t>ובדברי</w:t>
      </w:r>
      <w:r w:rsidR="008908EE" w:rsidRPr="00EB54E1">
        <w:rPr>
          <w:sz w:val="26"/>
          <w:szCs w:val="26"/>
          <w:rtl/>
        </w:rPr>
        <w:t xml:space="preserve"> </w:t>
      </w:r>
      <w:r w:rsidR="008908EE" w:rsidRPr="00EB54E1">
        <w:rPr>
          <w:rFonts w:hint="eastAsia"/>
          <w:sz w:val="26"/>
          <w:szCs w:val="26"/>
          <w:rtl/>
        </w:rPr>
        <w:t>ההסבר</w:t>
      </w:r>
      <w:r w:rsidR="008908EE" w:rsidRPr="00EB54E1">
        <w:rPr>
          <w:sz w:val="26"/>
          <w:szCs w:val="26"/>
          <w:rtl/>
        </w:rPr>
        <w:t>.</w:t>
      </w:r>
    </w:p>
    <w:p w:rsidR="00D931FF" w:rsidRDefault="00D931FF" w:rsidP="00D931FF">
      <w:pPr>
        <w:rPr>
          <w:rtl/>
        </w:rPr>
      </w:pPr>
      <w:bookmarkStart w:id="17" w:name="_Toc57284968"/>
    </w:p>
    <w:p w:rsidR="008E2A23" w:rsidRDefault="008E2A23" w:rsidP="00741367">
      <w:pPr>
        <w:pStyle w:val="4"/>
        <w:rPr>
          <w:rtl/>
        </w:rPr>
      </w:pPr>
      <w:bookmarkStart w:id="18" w:name="_Toc57285289"/>
      <w:bookmarkStart w:id="19" w:name="_Toc57539224"/>
      <w:bookmarkStart w:id="20" w:name="_Toc57541936"/>
      <w:bookmarkStart w:id="21" w:name="_Toc128074538"/>
      <w:r w:rsidRPr="008E2A23">
        <w:rPr>
          <w:rFonts w:hint="cs"/>
          <w:rtl/>
        </w:rPr>
        <w:t xml:space="preserve">השפעת תזכיר החוק המוצע על </w:t>
      </w:r>
      <w:bookmarkEnd w:id="17"/>
      <w:bookmarkEnd w:id="18"/>
      <w:bookmarkEnd w:id="19"/>
      <w:bookmarkEnd w:id="20"/>
      <w:bookmarkEnd w:id="21"/>
      <w:r w:rsidR="00DC2A92">
        <w:rPr>
          <w:rFonts w:hint="cs"/>
          <w:rtl/>
        </w:rPr>
        <w:t>החוק הקיים</w:t>
      </w:r>
    </w:p>
    <w:p w:rsidR="00DC2A92" w:rsidRDefault="00DC2A92" w:rsidP="000E0FF2">
      <w:pPr>
        <w:rPr>
          <w:sz w:val="26"/>
          <w:szCs w:val="26"/>
          <w:rtl/>
        </w:rPr>
      </w:pPr>
      <w:r w:rsidRPr="00406310">
        <w:rPr>
          <w:rFonts w:hint="cs"/>
          <w:sz w:val="26"/>
          <w:szCs w:val="26"/>
          <w:rtl/>
        </w:rPr>
        <w:t>תיקון חוק התכנון והבניה, התשכ"ה-1965</w:t>
      </w:r>
      <w:r w:rsidR="00E30D75">
        <w:rPr>
          <w:rFonts w:hint="cs"/>
          <w:sz w:val="26"/>
          <w:szCs w:val="26"/>
          <w:rtl/>
        </w:rPr>
        <w:t>.</w:t>
      </w:r>
    </w:p>
    <w:p w:rsidR="00E30D75" w:rsidRPr="00741367" w:rsidRDefault="00E30D75" w:rsidP="000E0FF2">
      <w:pPr>
        <w:rPr>
          <w:rtl/>
        </w:rPr>
      </w:pPr>
    </w:p>
    <w:p w:rsidR="00DC2A92" w:rsidRDefault="00DC2A92" w:rsidP="00741367">
      <w:pPr>
        <w:pStyle w:val="4"/>
        <w:rPr>
          <w:rtl/>
        </w:rPr>
      </w:pPr>
      <w:r w:rsidRPr="008E2A23">
        <w:rPr>
          <w:rFonts w:hint="cs"/>
          <w:rtl/>
        </w:rPr>
        <w:t xml:space="preserve">השפעת תזכיר החוק המוצע על </w:t>
      </w:r>
      <w:r>
        <w:rPr>
          <w:rFonts w:hint="cs"/>
          <w:rtl/>
        </w:rPr>
        <w:t>תקציב המדינה</w:t>
      </w:r>
    </w:p>
    <w:p w:rsidR="00E30D75" w:rsidRDefault="008908EE" w:rsidP="000E0FF2">
      <w:pPr>
        <w:rPr>
          <w:sz w:val="26"/>
          <w:rtl/>
        </w:rPr>
      </w:pPr>
      <w:r w:rsidRPr="000E0FF2">
        <w:rPr>
          <w:rFonts w:hint="eastAsia"/>
          <w:sz w:val="26"/>
          <w:szCs w:val="26"/>
          <w:rtl/>
        </w:rPr>
        <w:t>אין</w:t>
      </w:r>
      <w:r w:rsidR="00E30D75">
        <w:rPr>
          <w:rFonts w:hint="cs"/>
          <w:sz w:val="26"/>
          <w:szCs w:val="26"/>
          <w:rtl/>
        </w:rPr>
        <w:t>.</w:t>
      </w:r>
    </w:p>
    <w:p w:rsidR="00EC0A69" w:rsidRPr="000E0FF2" w:rsidRDefault="00EC0A69" w:rsidP="000E0FF2">
      <w:pPr>
        <w:rPr>
          <w:sz w:val="26"/>
          <w:rtl/>
        </w:rPr>
      </w:pPr>
    </w:p>
    <w:p w:rsidR="00DC2A92" w:rsidRDefault="00DC2A92" w:rsidP="00DC2A92">
      <w:pPr>
        <w:pStyle w:val="4"/>
        <w:numPr>
          <w:ilvl w:val="0"/>
          <w:numId w:val="30"/>
        </w:numPr>
        <w:autoSpaceDE w:val="0"/>
        <w:autoSpaceDN w:val="0"/>
        <w:adjustRightInd w:val="0"/>
        <w:spacing w:line="204" w:lineRule="atLeast"/>
        <w:textAlignment w:val="center"/>
        <w:rPr>
          <w:rtl/>
        </w:rPr>
      </w:pPr>
      <w:bookmarkStart w:id="22" w:name="_Toc128290483"/>
      <w:r w:rsidRPr="00DC1124">
        <w:rPr>
          <w:rFonts w:hint="cs"/>
          <w:rtl/>
        </w:rPr>
        <w:t>השפעת תזכיר החוק המוצע על תקנים במשרדי הממשלה וההיבט המינהלי</w:t>
      </w:r>
      <w:bookmarkEnd w:id="22"/>
    </w:p>
    <w:p w:rsidR="00DC2A92" w:rsidRPr="000E0FF2" w:rsidRDefault="00DC2A92" w:rsidP="00741367">
      <w:pPr>
        <w:rPr>
          <w:sz w:val="26"/>
          <w:szCs w:val="26"/>
          <w:rtl/>
        </w:rPr>
      </w:pPr>
      <w:r w:rsidRPr="000E0FF2">
        <w:rPr>
          <w:rFonts w:hint="eastAsia"/>
          <w:sz w:val="26"/>
          <w:szCs w:val="26"/>
          <w:rtl/>
        </w:rPr>
        <w:t>אין</w:t>
      </w:r>
      <w:r w:rsidR="00E30D75">
        <w:rPr>
          <w:rFonts w:hint="cs"/>
          <w:sz w:val="26"/>
          <w:szCs w:val="26"/>
          <w:rtl/>
        </w:rPr>
        <w:t>.</w:t>
      </w:r>
    </w:p>
    <w:p w:rsidR="008E2A23" w:rsidRPr="008E2A23" w:rsidRDefault="008E2A23" w:rsidP="008E2A23">
      <w:pPr>
        <w:rPr>
          <w:b/>
          <w:bCs/>
          <w:rtl/>
        </w:rPr>
      </w:pPr>
    </w:p>
    <w:p w:rsidR="008E2A23" w:rsidRPr="008E2A23" w:rsidRDefault="008E2A23" w:rsidP="00741367">
      <w:pPr>
        <w:pStyle w:val="4"/>
        <w:rPr>
          <w:rtl/>
        </w:rPr>
      </w:pPr>
      <w:bookmarkStart w:id="23" w:name="_Toc57284969"/>
      <w:bookmarkStart w:id="24" w:name="_Toc57285290"/>
      <w:bookmarkStart w:id="25" w:name="_Toc57539225"/>
      <w:bookmarkStart w:id="26" w:name="_Toc57541937"/>
      <w:bookmarkStart w:id="27" w:name="_Toc128074539"/>
      <w:r w:rsidRPr="008E2A23">
        <w:rPr>
          <w:rFonts w:hint="cs"/>
          <w:rtl/>
        </w:rPr>
        <w:t xml:space="preserve">להלן </w:t>
      </w:r>
      <w:r w:rsidR="00DC2A92">
        <w:rPr>
          <w:rFonts w:hint="cs"/>
          <w:rtl/>
        </w:rPr>
        <w:t xml:space="preserve">תזכיר </w:t>
      </w:r>
      <w:r w:rsidRPr="008E2A23">
        <w:rPr>
          <w:rFonts w:hint="cs"/>
          <w:rtl/>
        </w:rPr>
        <w:t xml:space="preserve">נוסח החוק המוצע </w:t>
      </w:r>
      <w:bookmarkEnd w:id="23"/>
      <w:bookmarkEnd w:id="24"/>
      <w:bookmarkEnd w:id="25"/>
      <w:bookmarkEnd w:id="26"/>
      <w:bookmarkEnd w:id="27"/>
    </w:p>
    <w:p w:rsidR="008E2A23" w:rsidRDefault="008E2A23" w:rsidP="008E2A23">
      <w:pPr>
        <w:rPr>
          <w:b/>
          <w:bCs/>
          <w:rtl/>
        </w:rPr>
      </w:pPr>
      <w:r w:rsidRPr="008E2A23">
        <w:rPr>
          <w:b/>
          <w:bCs/>
          <w:rtl/>
        </w:rPr>
        <w:br w:type="page"/>
      </w:r>
    </w:p>
    <w:p w:rsidR="00A721AC" w:rsidRPr="008E2A23" w:rsidRDefault="00A721AC" w:rsidP="008E2A23">
      <w:pPr>
        <w:rPr>
          <w:b/>
          <w:bCs/>
        </w:rPr>
      </w:pPr>
    </w:p>
    <w:p w:rsidR="00E61031" w:rsidRPr="00E61031" w:rsidRDefault="00E61031" w:rsidP="00454B35">
      <w:pPr>
        <w:snapToGrid w:val="0"/>
        <w:spacing w:before="480"/>
        <w:rPr>
          <w:rFonts w:ascii="Arial" w:eastAsia="Arial Unicode MS" w:hAnsi="Arial"/>
          <w:b/>
          <w:bCs/>
          <w:snapToGrid w:val="0"/>
          <w:sz w:val="20"/>
          <w:szCs w:val="26"/>
          <w:rtl/>
        </w:rPr>
      </w:pPr>
      <w:r w:rsidRPr="00E61031">
        <w:rPr>
          <w:rFonts w:ascii="Arial" w:eastAsia="Arial Unicode MS" w:hAnsi="Arial"/>
          <w:b/>
          <w:bCs/>
          <w:snapToGrid w:val="0"/>
          <w:sz w:val="20"/>
          <w:szCs w:val="26"/>
          <w:rtl/>
        </w:rPr>
        <w:t>תזכיר חוק מטעם משרד</w:t>
      </w:r>
      <w:r w:rsidRPr="00E61031">
        <w:rPr>
          <w:rFonts w:ascii="Arial" w:eastAsia="Arial Unicode MS" w:hAnsi="Arial" w:hint="cs"/>
          <w:b/>
          <w:bCs/>
          <w:snapToGrid w:val="0"/>
          <w:sz w:val="20"/>
          <w:szCs w:val="26"/>
          <w:rtl/>
        </w:rPr>
        <w:t xml:space="preserve"> </w:t>
      </w:r>
      <w:r w:rsidR="008E2756" w:rsidRPr="00E61031">
        <w:rPr>
          <w:rFonts w:ascii="Arial" w:eastAsia="Arial Unicode MS" w:hAnsi="Arial" w:hint="cs"/>
          <w:b/>
          <w:bCs/>
          <w:snapToGrid w:val="0"/>
          <w:sz w:val="20"/>
          <w:szCs w:val="26"/>
          <w:rtl/>
        </w:rPr>
        <w:t>ה</w:t>
      </w:r>
      <w:r w:rsidR="008E2756">
        <w:rPr>
          <w:rFonts w:ascii="Arial" w:eastAsia="Arial Unicode MS" w:hAnsi="Arial" w:hint="cs"/>
          <w:b/>
          <w:bCs/>
          <w:snapToGrid w:val="0"/>
          <w:sz w:val="20"/>
          <w:szCs w:val="26"/>
          <w:rtl/>
        </w:rPr>
        <w:t>אוצר</w:t>
      </w:r>
      <w:r w:rsidRPr="00E61031">
        <w:rPr>
          <w:rFonts w:ascii="Arial" w:eastAsia="Arial Unicode MS" w:hAnsi="Arial"/>
          <w:b/>
          <w:bCs/>
          <w:snapToGrid w:val="0"/>
          <w:sz w:val="20"/>
          <w:szCs w:val="26"/>
          <w:rtl/>
        </w:rPr>
        <w:t xml:space="preserve">: </w:t>
      </w:r>
    </w:p>
    <w:p w:rsidR="00E61031" w:rsidRPr="00E61031" w:rsidRDefault="00E61031" w:rsidP="00E61031">
      <w:pPr>
        <w:snapToGrid w:val="0"/>
        <w:spacing w:before="480"/>
        <w:rPr>
          <w:rFonts w:ascii="Arial" w:eastAsia="Arial Unicode MS" w:hAnsi="Arial"/>
          <w:b/>
          <w:bCs/>
          <w:snapToGrid w:val="0"/>
          <w:sz w:val="20"/>
          <w:szCs w:val="26"/>
          <w:rtl/>
        </w:rPr>
      </w:pPr>
    </w:p>
    <w:p w:rsidR="00E61031" w:rsidRDefault="00DC2A92" w:rsidP="00EB54E1">
      <w:pPr>
        <w:pStyle w:val="HeadHatzaotHok"/>
        <w:keepNext w:val="0"/>
        <w:keepLines w:val="0"/>
        <w:rPr>
          <w:rtl/>
        </w:rPr>
      </w:pPr>
      <w:bookmarkStart w:id="28" w:name="_Toc128074540"/>
      <w:bookmarkStart w:id="29" w:name="_Toc503130994"/>
      <w:bookmarkStart w:id="30" w:name="_Toc57285291"/>
      <w:bookmarkStart w:id="31" w:name="_Toc57539226"/>
      <w:bookmarkStart w:id="32" w:name="_Toc57541938"/>
      <w:bookmarkStart w:id="33" w:name="_Toc91062301"/>
      <w:r>
        <w:rPr>
          <w:rFonts w:ascii="David" w:eastAsia="Times New Roman" w:hAnsi="David" w:hint="cs"/>
          <w:noProof/>
          <w:snapToGrid/>
          <w:spacing w:val="1"/>
          <w:sz w:val="26"/>
          <w:rtl/>
          <w:lang w:eastAsia="he-IL"/>
        </w:rPr>
        <w:t xml:space="preserve">תזכיר </w:t>
      </w:r>
      <w:r w:rsidR="00A915F8" w:rsidRPr="003024B5">
        <w:rPr>
          <w:rFonts w:ascii="David" w:eastAsia="Times New Roman" w:hAnsi="David"/>
          <w:noProof/>
          <w:snapToGrid/>
          <w:spacing w:val="1"/>
          <w:sz w:val="26"/>
          <w:rtl/>
          <w:lang w:eastAsia="he-IL"/>
        </w:rPr>
        <w:t>חוק התוכנית הכלכלית (תיקוני חקיקה ליישום המדיניות הכלכלית לשנ</w:t>
      </w:r>
      <w:r w:rsidR="00A915F8" w:rsidRPr="003024B5">
        <w:rPr>
          <w:rFonts w:ascii="David" w:eastAsia="Times New Roman" w:hAnsi="David" w:hint="eastAsia"/>
          <w:noProof/>
          <w:snapToGrid/>
          <w:spacing w:val="1"/>
          <w:sz w:val="26"/>
          <w:rtl/>
          <w:lang w:eastAsia="he-IL"/>
        </w:rPr>
        <w:t>ו</w:t>
      </w:r>
      <w:r w:rsidR="00A915F8" w:rsidRPr="003024B5">
        <w:rPr>
          <w:rFonts w:ascii="David" w:eastAsia="Times New Roman" w:hAnsi="David"/>
          <w:noProof/>
          <w:snapToGrid/>
          <w:spacing w:val="1"/>
          <w:sz w:val="26"/>
          <w:rtl/>
          <w:lang w:eastAsia="he-IL"/>
        </w:rPr>
        <w:t>ת התקציב 202</w:t>
      </w:r>
      <w:r w:rsidR="00A915F8">
        <w:rPr>
          <w:rFonts w:eastAsia="Times New Roman" w:hint="cs"/>
          <w:b w:val="0"/>
          <w:noProof/>
          <w:spacing w:val="1"/>
          <w:sz w:val="26"/>
          <w:rtl/>
          <w:lang w:eastAsia="he-IL"/>
        </w:rPr>
        <w:t>3</w:t>
      </w:r>
      <w:r w:rsidR="00A915F8" w:rsidRPr="003024B5">
        <w:rPr>
          <w:rFonts w:ascii="David" w:eastAsia="Times New Roman" w:hAnsi="David"/>
          <w:noProof/>
          <w:snapToGrid/>
          <w:spacing w:val="1"/>
          <w:sz w:val="26"/>
          <w:rtl/>
          <w:lang w:eastAsia="he-IL"/>
        </w:rPr>
        <w:t xml:space="preserve"> ו-202</w:t>
      </w:r>
      <w:r w:rsidR="00A915F8">
        <w:rPr>
          <w:rFonts w:eastAsia="Times New Roman" w:hint="cs"/>
          <w:b w:val="0"/>
          <w:noProof/>
          <w:spacing w:val="1"/>
          <w:sz w:val="26"/>
          <w:rtl/>
          <w:lang w:eastAsia="he-IL"/>
        </w:rPr>
        <w:t>4</w:t>
      </w:r>
      <w:r w:rsidR="00A915F8" w:rsidRPr="003024B5">
        <w:rPr>
          <w:rFonts w:ascii="David" w:eastAsia="Times New Roman" w:hAnsi="David"/>
          <w:noProof/>
          <w:snapToGrid/>
          <w:spacing w:val="1"/>
          <w:sz w:val="26"/>
          <w:rtl/>
          <w:lang w:eastAsia="he-IL"/>
        </w:rPr>
        <w:t>), התשפ"</w:t>
      </w:r>
      <w:r w:rsidR="00A915F8">
        <w:rPr>
          <w:rFonts w:eastAsia="Times New Roman" w:hint="cs"/>
          <w:b w:val="0"/>
          <w:noProof/>
          <w:spacing w:val="1"/>
          <w:sz w:val="26"/>
          <w:rtl/>
          <w:lang w:eastAsia="he-IL"/>
        </w:rPr>
        <w:t>ג</w:t>
      </w:r>
      <w:r w:rsidR="00A915F8" w:rsidRPr="003024B5">
        <w:rPr>
          <w:rFonts w:ascii="David" w:eastAsia="Times New Roman" w:hAnsi="David"/>
          <w:noProof/>
          <w:snapToGrid/>
          <w:spacing w:val="1"/>
          <w:sz w:val="26"/>
          <w:rtl/>
          <w:lang w:eastAsia="he-IL"/>
        </w:rPr>
        <w:t>-202</w:t>
      </w:r>
      <w:r w:rsidR="00A915F8">
        <w:rPr>
          <w:rFonts w:eastAsia="Times New Roman" w:hint="cs"/>
          <w:b w:val="0"/>
          <w:noProof/>
          <w:spacing w:val="1"/>
          <w:sz w:val="26"/>
          <w:rtl/>
          <w:lang w:eastAsia="he-IL"/>
        </w:rPr>
        <w:t>3</w:t>
      </w:r>
      <w:r w:rsidR="00E30D75">
        <w:rPr>
          <w:rFonts w:ascii="David" w:eastAsia="Times New Roman" w:hAnsi="David" w:hint="cs"/>
          <w:noProof/>
          <w:snapToGrid/>
          <w:spacing w:val="1"/>
          <w:sz w:val="26"/>
          <w:rtl/>
          <w:lang w:eastAsia="he-IL"/>
        </w:rPr>
        <w:t>,</w:t>
      </w:r>
      <w:r w:rsidR="00A915F8" w:rsidRPr="003024B5">
        <w:rPr>
          <w:rFonts w:ascii="David" w:eastAsia="Times New Roman" w:hAnsi="David"/>
          <w:noProof/>
          <w:snapToGrid/>
          <w:spacing w:val="1"/>
          <w:sz w:val="26"/>
          <w:rtl/>
          <w:lang w:eastAsia="he-IL"/>
        </w:rPr>
        <w:t xml:space="preserve"> פרק </w:t>
      </w:r>
      <w:r w:rsidR="00E30D75">
        <w:rPr>
          <w:rFonts w:ascii="David" w:eastAsia="Times New Roman" w:hAnsi="David" w:hint="cs"/>
          <w:noProof/>
          <w:snapToGrid/>
          <w:spacing w:val="1"/>
          <w:sz w:val="26"/>
          <w:rtl/>
          <w:lang w:eastAsia="he-IL"/>
        </w:rPr>
        <w:t xml:space="preserve">___: </w:t>
      </w:r>
      <w:r w:rsidR="00DF2CB8" w:rsidRPr="00DF2CB8">
        <w:rPr>
          <w:rFonts w:ascii="David" w:eastAsia="Times New Roman" w:hAnsi="David"/>
          <w:noProof/>
          <w:snapToGrid/>
          <w:spacing w:val="1"/>
          <w:sz w:val="26"/>
          <w:rtl/>
          <w:lang w:eastAsia="he-IL"/>
        </w:rPr>
        <w:t xml:space="preserve">התחדשות עירונית </w:t>
      </w:r>
      <w:r w:rsidR="00E30D75">
        <w:rPr>
          <w:rFonts w:ascii="David" w:eastAsia="Times New Roman" w:hAnsi="David" w:hint="cs"/>
          <w:noProof/>
          <w:snapToGrid/>
          <w:spacing w:val="1"/>
          <w:sz w:val="26"/>
          <w:rtl/>
          <w:lang w:eastAsia="he-IL"/>
        </w:rPr>
        <w:t>(</w:t>
      </w:r>
      <w:r w:rsidR="00DF2CB8" w:rsidRPr="00DF2CB8">
        <w:rPr>
          <w:rFonts w:ascii="David" w:eastAsia="Times New Roman" w:hAnsi="David"/>
          <w:noProof/>
          <w:snapToGrid/>
          <w:spacing w:val="1"/>
          <w:sz w:val="26"/>
          <w:rtl/>
          <w:lang w:eastAsia="he-IL"/>
        </w:rPr>
        <w:t>חלק א'</w:t>
      </w:r>
      <w:bookmarkEnd w:id="28"/>
      <w:bookmarkEnd w:id="29"/>
      <w:bookmarkEnd w:id="30"/>
      <w:bookmarkEnd w:id="31"/>
      <w:bookmarkEnd w:id="32"/>
      <w:bookmarkEnd w:id="33"/>
      <w:r w:rsidR="00E30D75">
        <w:rPr>
          <w:rFonts w:hint="cs"/>
          <w:rtl/>
        </w:rPr>
        <w:t>)</w:t>
      </w:r>
    </w:p>
    <w:p w:rsidR="00E30D75" w:rsidRDefault="00E30D75" w:rsidP="00EB54E1">
      <w:pPr>
        <w:pStyle w:val="HeadHatzaotHok"/>
        <w:keepNext w:val="0"/>
        <w:keepLines w:val="0"/>
        <w:rPr>
          <w:rtl/>
        </w:rPr>
      </w:pPr>
    </w:p>
    <w:p w:rsidR="004900A8" w:rsidRPr="004A3218" w:rsidRDefault="00E30D75" w:rsidP="00EB54E1">
      <w:pPr>
        <w:pStyle w:val="HeadHatzaotHok"/>
      </w:pPr>
      <w:r w:rsidRPr="003024B5">
        <w:rPr>
          <w:rFonts w:ascii="David" w:eastAsia="Times New Roman" w:hAnsi="David"/>
          <w:noProof/>
          <w:snapToGrid/>
          <w:spacing w:val="1"/>
          <w:sz w:val="26"/>
          <w:rtl/>
          <w:lang w:eastAsia="he-IL"/>
        </w:rPr>
        <w:t xml:space="preserve">פרק </w:t>
      </w:r>
      <w:r>
        <w:rPr>
          <w:rFonts w:ascii="David" w:eastAsia="Times New Roman" w:hAnsi="David" w:hint="cs"/>
          <w:noProof/>
          <w:snapToGrid/>
          <w:spacing w:val="1"/>
          <w:sz w:val="26"/>
          <w:rtl/>
          <w:lang w:eastAsia="he-IL"/>
        </w:rPr>
        <w:t xml:space="preserve">___: </w:t>
      </w:r>
      <w:r w:rsidRPr="00DF2CB8">
        <w:rPr>
          <w:rFonts w:ascii="David" w:eastAsia="Times New Roman" w:hAnsi="David"/>
          <w:noProof/>
          <w:snapToGrid/>
          <w:spacing w:val="1"/>
          <w:sz w:val="26"/>
          <w:rtl/>
          <w:lang w:eastAsia="he-IL"/>
        </w:rPr>
        <w:t xml:space="preserve">התחדשות עירונית </w:t>
      </w:r>
      <w:r>
        <w:rPr>
          <w:rFonts w:ascii="David" w:eastAsia="Times New Roman" w:hAnsi="David" w:hint="cs"/>
          <w:noProof/>
          <w:snapToGrid/>
          <w:spacing w:val="1"/>
          <w:sz w:val="26"/>
          <w:rtl/>
          <w:lang w:eastAsia="he-IL"/>
        </w:rPr>
        <w:t>(</w:t>
      </w:r>
      <w:r w:rsidRPr="00DF2CB8">
        <w:rPr>
          <w:rFonts w:ascii="David" w:eastAsia="Times New Roman" w:hAnsi="David"/>
          <w:noProof/>
          <w:snapToGrid/>
          <w:spacing w:val="1"/>
          <w:sz w:val="26"/>
          <w:rtl/>
          <w:lang w:eastAsia="he-IL"/>
        </w:rPr>
        <w:t>חלק א'</w:t>
      </w:r>
      <w:r>
        <w:rPr>
          <w:rFonts w:hint="cs"/>
          <w:rtl/>
        </w:rPr>
        <w:t>)</w:t>
      </w:r>
      <w:r w:rsidRPr="00D931FF" w:rsidDel="00E30D75">
        <w:rPr>
          <w:rtl/>
        </w:rPr>
        <w:t xml:space="preserve"> </w:t>
      </w:r>
    </w:p>
    <w:tbl>
      <w:tblPr>
        <w:bidiVisual/>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2311A7" w:rsidTr="00EB54E1">
        <w:trPr>
          <w:cantSplit/>
          <w:trHeight w:val="60"/>
        </w:trPr>
        <w:tc>
          <w:tcPr>
            <w:tcW w:w="1871" w:type="dxa"/>
            <w:tcBorders>
              <w:top w:val="nil"/>
              <w:left w:val="nil"/>
              <w:bottom w:val="nil"/>
              <w:right w:val="nil"/>
            </w:tcBorders>
          </w:tcPr>
          <w:p w:rsidR="002311A7" w:rsidRPr="00DD7DAF" w:rsidRDefault="0015526A" w:rsidP="00A915F8">
            <w:pPr>
              <w:pStyle w:val="TableSideHeading"/>
              <w:keepLines w:val="0"/>
            </w:pPr>
            <w:bookmarkStart w:id="34" w:name="_Toc128074541"/>
            <w:r>
              <w:rPr>
                <w:rFonts w:hint="cs"/>
                <w:rtl/>
              </w:rPr>
              <w:t xml:space="preserve">תיקון סעיף 147 </w:t>
            </w:r>
            <w:r>
              <w:rPr>
                <w:rtl/>
              </w:rPr>
              <w:t>–</w:t>
            </w:r>
            <w:r>
              <w:rPr>
                <w:rFonts w:hint="cs"/>
                <w:rtl/>
              </w:rPr>
              <w:t xml:space="preserve"> הוראת שעה</w:t>
            </w:r>
            <w:bookmarkEnd w:id="34"/>
            <w:r>
              <w:rPr>
                <w:rFonts w:hint="cs"/>
                <w:rtl/>
              </w:rPr>
              <w:t xml:space="preserve"> </w:t>
            </w:r>
          </w:p>
        </w:tc>
        <w:tc>
          <w:tcPr>
            <w:tcW w:w="624" w:type="dxa"/>
            <w:tcBorders>
              <w:top w:val="nil"/>
              <w:left w:val="nil"/>
              <w:bottom w:val="nil"/>
              <w:right w:val="nil"/>
            </w:tcBorders>
          </w:tcPr>
          <w:p w:rsidR="002311A7" w:rsidRDefault="002311A7" w:rsidP="002311A7">
            <w:pPr>
              <w:pStyle w:val="TableText"/>
              <w:keepLines w:val="0"/>
              <w:numPr>
                <w:ilvl w:val="0"/>
                <w:numId w:val="11"/>
              </w:numPr>
            </w:pPr>
          </w:p>
        </w:tc>
        <w:tc>
          <w:tcPr>
            <w:tcW w:w="7146" w:type="dxa"/>
            <w:gridSpan w:val="4"/>
            <w:tcBorders>
              <w:top w:val="nil"/>
              <w:left w:val="nil"/>
              <w:bottom w:val="nil"/>
              <w:right w:val="nil"/>
            </w:tcBorders>
          </w:tcPr>
          <w:p w:rsidR="002311A7" w:rsidRPr="00C34DE2" w:rsidRDefault="0015526A" w:rsidP="00A915F8">
            <w:pPr>
              <w:pStyle w:val="TableBlock"/>
            </w:pPr>
            <w:r>
              <w:rPr>
                <w:rFonts w:hint="cs"/>
                <w:rtl/>
              </w:rPr>
              <w:t xml:space="preserve">בתקופה של </w:t>
            </w:r>
            <w:r w:rsidR="00F244D9">
              <w:rPr>
                <w:rFonts w:hint="cs"/>
                <w:rtl/>
              </w:rPr>
              <w:t>שנתיים</w:t>
            </w:r>
            <w:r>
              <w:rPr>
                <w:rFonts w:hint="cs"/>
                <w:rtl/>
              </w:rPr>
              <w:t xml:space="preserve"> מיום תחילתו של חוק זה, יקראו את סעיף 147 לחוק התכנון והבנייה, התשכ"ה-1965</w:t>
            </w:r>
            <w:r>
              <w:rPr>
                <w:rStyle w:val="a5"/>
                <w:rtl/>
              </w:rPr>
              <w:footnoteReference w:id="2"/>
            </w:r>
            <w:r w:rsidR="000F5CF2">
              <w:rPr>
                <w:rFonts w:hint="cs"/>
                <w:rtl/>
              </w:rPr>
              <w:t>, כך שאחרי סעיף קטן (ט) יבוא</w:t>
            </w:r>
            <w:r w:rsidR="00E30D75">
              <w:rPr>
                <w:rFonts w:hint="cs"/>
                <w:rtl/>
              </w:rPr>
              <w:t xml:space="preserve"> (בפרק זה </w:t>
            </w:r>
            <w:r w:rsidR="00E30D75">
              <w:rPr>
                <w:rtl/>
              </w:rPr>
              <w:t>–</w:t>
            </w:r>
            <w:r w:rsidR="00E30D75">
              <w:rPr>
                <w:rFonts w:hint="cs"/>
                <w:rtl/>
              </w:rPr>
              <w:t xml:space="preserve"> הוראת השעה)</w:t>
            </w:r>
            <w:r w:rsidR="000F5CF2">
              <w:rPr>
                <w:rFonts w:hint="cs"/>
                <w:rtl/>
              </w:rPr>
              <w:t>:</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8E2756" w:rsidP="002311A7">
            <w:pPr>
              <w:pStyle w:val="TableText"/>
            </w:pPr>
            <w:r>
              <w:rPr>
                <w:rFonts w:hint="cs"/>
                <w:rtl/>
              </w:rPr>
              <w:t>"(י)</w:t>
            </w:r>
          </w:p>
        </w:tc>
        <w:tc>
          <w:tcPr>
            <w:tcW w:w="624" w:type="dxa"/>
            <w:tcBorders>
              <w:top w:val="nil"/>
              <w:left w:val="nil"/>
              <w:bottom w:val="nil"/>
              <w:right w:val="nil"/>
            </w:tcBorders>
          </w:tcPr>
          <w:p w:rsidR="002311A7" w:rsidRDefault="002311A7" w:rsidP="002311A7">
            <w:pPr>
              <w:pStyle w:val="TableText"/>
              <w:numPr>
                <w:ilvl w:val="0"/>
                <w:numId w:val="14"/>
              </w:numPr>
              <w:tabs>
                <w:tab w:val="left" w:pos="624"/>
              </w:tabs>
              <w:jc w:val="both"/>
            </w:pPr>
          </w:p>
        </w:tc>
        <w:tc>
          <w:tcPr>
            <w:tcW w:w="5898" w:type="dxa"/>
            <w:gridSpan w:val="2"/>
            <w:tcBorders>
              <w:top w:val="nil"/>
              <w:left w:val="nil"/>
              <w:bottom w:val="nil"/>
              <w:right w:val="nil"/>
            </w:tcBorders>
          </w:tcPr>
          <w:p w:rsidR="002311A7" w:rsidRDefault="000F5CF2" w:rsidP="002311A7">
            <w:pPr>
              <w:pStyle w:val="TableBlock"/>
            </w:pPr>
            <w:r>
              <w:rPr>
                <w:rFonts w:hint="cs"/>
                <w:rtl/>
              </w:rPr>
              <w:t>ועדה מקומית תיתן הקלה לתוספת דירות למגורים במגרש, ולתוספת שטח כולל מותר לבניה לצורך תוספת הדירות כאמור, מהמספר המרבי של דירות המגורים ושל השטח הכולל המותר לבנייה במגרש על פי הוראות התכנית</w:t>
            </w:r>
            <w:r w:rsidR="00CD21CB">
              <w:rPr>
                <w:rFonts w:hint="cs"/>
                <w:rtl/>
              </w:rPr>
              <w:t xml:space="preserve"> החלה על המגרש</w:t>
            </w:r>
            <w:r>
              <w:rPr>
                <w:rFonts w:hint="cs"/>
                <w:rtl/>
              </w:rPr>
              <w:t xml:space="preserve">, בדרך של פיצול דירה קיימת לדירה אחת נוספת או בדרך של הוספת דירה אחת נוספת לכל דירה שקיימת במגרש (בסעיף קטן זה </w:t>
            </w:r>
            <w:r>
              <w:rPr>
                <w:rtl/>
              </w:rPr>
              <w:t>–</w:t>
            </w:r>
            <w:r>
              <w:rPr>
                <w:rFonts w:hint="cs"/>
                <w:rtl/>
              </w:rPr>
              <w:t xml:space="preserve"> הדירה הנוספת), אף אם נקבע בתכנית כי סטייה מהוראות התכנית כאמור לעניין זה תהיה סטייה ניכרת, בהתקיים כל אלה:</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outlineLvl w:val="9"/>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6"/>
              </w:numPr>
              <w:tabs>
                <w:tab w:val="left" w:pos="624"/>
              </w:tabs>
              <w:jc w:val="both"/>
            </w:pPr>
          </w:p>
        </w:tc>
        <w:tc>
          <w:tcPr>
            <w:tcW w:w="5274" w:type="dxa"/>
            <w:tcBorders>
              <w:top w:val="nil"/>
              <w:left w:val="nil"/>
              <w:bottom w:val="nil"/>
              <w:right w:val="nil"/>
            </w:tcBorders>
          </w:tcPr>
          <w:p w:rsidR="002311A7" w:rsidRDefault="000F5CF2" w:rsidP="007E1296">
            <w:pPr>
              <w:pStyle w:val="TableBlock"/>
            </w:pPr>
            <w:r>
              <w:rPr>
                <w:rFonts w:hint="cs"/>
                <w:rtl/>
              </w:rPr>
              <w:t xml:space="preserve">בדרך של פיצול דירה קיימת </w:t>
            </w:r>
            <w:r>
              <w:rPr>
                <w:rtl/>
              </w:rPr>
              <w:t>–</w:t>
            </w:r>
            <w:r>
              <w:rPr>
                <w:rFonts w:hint="cs"/>
                <w:rtl/>
              </w:rPr>
              <w:t xml:space="preserve"> הדירה שלגביה מתבקשת ההקלה היא דירה צמודת קרקע, ובדרך של הוספת דירה </w:t>
            </w:r>
            <w:r>
              <w:rPr>
                <w:rtl/>
              </w:rPr>
              <w:t>–</w:t>
            </w:r>
            <w:r>
              <w:rPr>
                <w:rFonts w:hint="cs"/>
                <w:rtl/>
              </w:rPr>
              <w:t xml:space="preserve"> קיימת במגרש שלגביו מבוקשת ההקלה דירה צמודת קרקע;</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6"/>
              </w:numPr>
            </w:pPr>
          </w:p>
        </w:tc>
        <w:tc>
          <w:tcPr>
            <w:tcW w:w="5274" w:type="dxa"/>
            <w:tcBorders>
              <w:top w:val="nil"/>
              <w:left w:val="nil"/>
              <w:bottom w:val="nil"/>
              <w:right w:val="nil"/>
            </w:tcBorders>
          </w:tcPr>
          <w:p w:rsidR="002311A7" w:rsidRPr="00877F6F" w:rsidRDefault="000F5CF2" w:rsidP="007E1296">
            <w:pPr>
              <w:pStyle w:val="TableBlock"/>
            </w:pPr>
            <w:r>
              <w:rPr>
                <w:rFonts w:hint="cs"/>
                <w:rtl/>
              </w:rPr>
              <w:t xml:space="preserve">בדרך של פיצול דירה קיימת </w:t>
            </w:r>
            <w:r>
              <w:rPr>
                <w:rtl/>
              </w:rPr>
              <w:t>–</w:t>
            </w:r>
            <w:r>
              <w:rPr>
                <w:rFonts w:hint="cs"/>
                <w:rtl/>
              </w:rPr>
              <w:t xml:space="preserve"> שטחה של הדירה שלגביה מתבקשת ההקלה הוא  120 מ"ר לפחות;</w:t>
            </w:r>
          </w:p>
        </w:tc>
      </w:tr>
      <w:tr w:rsidR="000F2AD1" w:rsidTr="00EB54E1">
        <w:trPr>
          <w:cantSplit/>
          <w:trHeight w:val="60"/>
        </w:trPr>
        <w:tc>
          <w:tcPr>
            <w:tcW w:w="1871" w:type="dxa"/>
            <w:tcBorders>
              <w:top w:val="nil"/>
              <w:left w:val="nil"/>
              <w:bottom w:val="nil"/>
              <w:right w:val="nil"/>
            </w:tcBorders>
          </w:tcPr>
          <w:p w:rsidR="000F2AD1" w:rsidRDefault="000F2AD1" w:rsidP="002311A7">
            <w:pPr>
              <w:pStyle w:val="TableSideHeading"/>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numPr>
                <w:ilvl w:val="0"/>
                <w:numId w:val="16"/>
              </w:numPr>
              <w:tabs>
                <w:tab w:val="left" w:pos="624"/>
              </w:tabs>
              <w:jc w:val="both"/>
            </w:pPr>
          </w:p>
        </w:tc>
        <w:tc>
          <w:tcPr>
            <w:tcW w:w="5274" w:type="dxa"/>
            <w:tcBorders>
              <w:top w:val="nil"/>
              <w:left w:val="nil"/>
              <w:bottom w:val="nil"/>
              <w:right w:val="nil"/>
            </w:tcBorders>
          </w:tcPr>
          <w:p w:rsidR="000F2AD1" w:rsidRDefault="000F2AD1" w:rsidP="002311A7">
            <w:pPr>
              <w:pStyle w:val="TableBlock"/>
              <w:rPr>
                <w:rtl/>
              </w:rPr>
            </w:pPr>
            <w:r>
              <w:rPr>
                <w:rFonts w:hint="cs"/>
                <w:rtl/>
              </w:rPr>
              <w:t>שטחה של דירת המגורים שתיווסף, מעבר למותר לפי תכנית, למעט שטח מדרגות גישה למפלס, לא יפחת מ-45 מ"ר והיא תכלול מטבח, שירותים וכניסה נפרדים;</w:t>
            </w:r>
          </w:p>
        </w:tc>
      </w:tr>
      <w:tr w:rsidR="008D60D1" w:rsidTr="00EB54E1">
        <w:trPr>
          <w:cantSplit/>
          <w:trHeight w:val="60"/>
        </w:trPr>
        <w:tc>
          <w:tcPr>
            <w:tcW w:w="1871" w:type="dxa"/>
            <w:tcBorders>
              <w:top w:val="nil"/>
              <w:left w:val="nil"/>
              <w:bottom w:val="nil"/>
              <w:right w:val="nil"/>
            </w:tcBorders>
          </w:tcPr>
          <w:p w:rsidR="008D60D1" w:rsidRDefault="008D60D1" w:rsidP="002311A7">
            <w:pPr>
              <w:pStyle w:val="TableSideHeading"/>
            </w:pPr>
          </w:p>
        </w:tc>
        <w:tc>
          <w:tcPr>
            <w:tcW w:w="624" w:type="dxa"/>
            <w:tcBorders>
              <w:top w:val="nil"/>
              <w:left w:val="nil"/>
              <w:bottom w:val="nil"/>
              <w:right w:val="nil"/>
            </w:tcBorders>
          </w:tcPr>
          <w:p w:rsidR="008D60D1" w:rsidRDefault="008D60D1" w:rsidP="00F244D9">
            <w:pPr>
              <w:pStyle w:val="TableText"/>
            </w:pPr>
          </w:p>
        </w:tc>
        <w:tc>
          <w:tcPr>
            <w:tcW w:w="624" w:type="dxa"/>
            <w:tcBorders>
              <w:top w:val="nil"/>
              <w:left w:val="nil"/>
              <w:bottom w:val="nil"/>
              <w:right w:val="nil"/>
            </w:tcBorders>
          </w:tcPr>
          <w:p w:rsidR="008D60D1" w:rsidRDefault="008D60D1" w:rsidP="002311A7">
            <w:pPr>
              <w:pStyle w:val="TableText"/>
            </w:pPr>
          </w:p>
        </w:tc>
        <w:tc>
          <w:tcPr>
            <w:tcW w:w="624" w:type="dxa"/>
            <w:tcBorders>
              <w:top w:val="nil"/>
              <w:left w:val="nil"/>
              <w:bottom w:val="nil"/>
              <w:right w:val="nil"/>
            </w:tcBorders>
          </w:tcPr>
          <w:p w:rsidR="008D60D1" w:rsidRDefault="008D60D1" w:rsidP="002311A7">
            <w:pPr>
              <w:pStyle w:val="TableText"/>
            </w:pPr>
          </w:p>
        </w:tc>
        <w:tc>
          <w:tcPr>
            <w:tcW w:w="624" w:type="dxa"/>
            <w:tcBorders>
              <w:top w:val="nil"/>
              <w:left w:val="nil"/>
              <w:bottom w:val="nil"/>
              <w:right w:val="nil"/>
            </w:tcBorders>
          </w:tcPr>
          <w:p w:rsidR="008D60D1" w:rsidRDefault="008D60D1" w:rsidP="002311A7">
            <w:pPr>
              <w:pStyle w:val="TableText"/>
              <w:numPr>
                <w:ilvl w:val="0"/>
                <w:numId w:val="16"/>
              </w:numPr>
              <w:tabs>
                <w:tab w:val="left" w:pos="624"/>
              </w:tabs>
              <w:jc w:val="both"/>
            </w:pPr>
          </w:p>
        </w:tc>
        <w:tc>
          <w:tcPr>
            <w:tcW w:w="5274" w:type="dxa"/>
            <w:tcBorders>
              <w:top w:val="nil"/>
              <w:left w:val="nil"/>
              <w:bottom w:val="nil"/>
              <w:right w:val="nil"/>
            </w:tcBorders>
          </w:tcPr>
          <w:p w:rsidR="008D60D1" w:rsidRDefault="008D60D1" w:rsidP="002311A7">
            <w:pPr>
              <w:pStyle w:val="TableBlock"/>
              <w:rPr>
                <w:rtl/>
              </w:rPr>
            </w:pPr>
            <w:r>
              <w:rPr>
                <w:rFonts w:hint="cs"/>
                <w:rtl/>
              </w:rPr>
              <w:t>השטח הכולל המותר לבניה, שייווס</w:t>
            </w:r>
            <w:r>
              <w:rPr>
                <w:rFonts w:hint="eastAsia"/>
                <w:rtl/>
              </w:rPr>
              <w:t>ף</w:t>
            </w:r>
            <w:r>
              <w:rPr>
                <w:rFonts w:hint="cs"/>
                <w:rtl/>
              </w:rPr>
              <w:t xml:space="preserve"> לפי סעיף קטן זה, לצורך כל דירה נוספת,  לא יעלה על 45 מ"ר, והוא ישמש לצורך הדירה הנוספת בלבד;</w:t>
            </w:r>
          </w:p>
        </w:tc>
      </w:tr>
      <w:tr w:rsidR="000F2AD1" w:rsidRPr="000F2AD1" w:rsidTr="00EB54E1">
        <w:trPr>
          <w:cantSplit/>
          <w:trHeight w:val="60"/>
        </w:trPr>
        <w:tc>
          <w:tcPr>
            <w:tcW w:w="1871" w:type="dxa"/>
            <w:tcBorders>
              <w:top w:val="nil"/>
              <w:left w:val="nil"/>
              <w:bottom w:val="nil"/>
              <w:right w:val="nil"/>
            </w:tcBorders>
          </w:tcPr>
          <w:p w:rsidR="000F2AD1" w:rsidRDefault="000F2AD1" w:rsidP="002311A7">
            <w:pPr>
              <w:pStyle w:val="TableSideHeading"/>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pPr>
          </w:p>
        </w:tc>
        <w:tc>
          <w:tcPr>
            <w:tcW w:w="624" w:type="dxa"/>
            <w:tcBorders>
              <w:top w:val="nil"/>
              <w:left w:val="nil"/>
              <w:bottom w:val="nil"/>
              <w:right w:val="nil"/>
            </w:tcBorders>
          </w:tcPr>
          <w:p w:rsidR="000F2AD1" w:rsidRDefault="000F2AD1" w:rsidP="002311A7">
            <w:pPr>
              <w:pStyle w:val="TableText"/>
              <w:numPr>
                <w:ilvl w:val="0"/>
                <w:numId w:val="16"/>
              </w:numPr>
            </w:pPr>
          </w:p>
        </w:tc>
        <w:tc>
          <w:tcPr>
            <w:tcW w:w="5274" w:type="dxa"/>
            <w:tcBorders>
              <w:top w:val="nil"/>
              <w:left w:val="nil"/>
              <w:bottom w:val="nil"/>
              <w:right w:val="nil"/>
            </w:tcBorders>
          </w:tcPr>
          <w:p w:rsidR="000F2AD1" w:rsidRDefault="000F2AD1" w:rsidP="00945EC8">
            <w:pPr>
              <w:pStyle w:val="TableBlock"/>
              <w:rPr>
                <w:rtl/>
              </w:rPr>
            </w:pPr>
            <w:r>
              <w:rPr>
                <w:rFonts w:hint="cs"/>
                <w:rtl/>
              </w:rPr>
              <w:t xml:space="preserve">התכנית כאמור נכנסה לתוקף לפני יום </w:t>
            </w:r>
            <w:r w:rsidR="00DF2CB8">
              <w:rPr>
                <w:rFonts w:hint="cs"/>
                <w:rtl/>
              </w:rPr>
              <w:t>טו'</w:t>
            </w:r>
            <w:r>
              <w:rPr>
                <w:rFonts w:hint="cs"/>
                <w:rtl/>
              </w:rPr>
              <w:t xml:space="preserve"> ב</w:t>
            </w:r>
            <w:r w:rsidR="00DF2CB8">
              <w:rPr>
                <w:rFonts w:hint="cs"/>
                <w:rtl/>
              </w:rPr>
              <w:t>אב</w:t>
            </w:r>
            <w:r>
              <w:rPr>
                <w:rFonts w:hint="cs"/>
                <w:rtl/>
              </w:rPr>
              <w:t xml:space="preserve"> התש</w:t>
            </w:r>
            <w:r w:rsidR="00DF2CB8">
              <w:rPr>
                <w:rFonts w:hint="cs"/>
                <w:rtl/>
              </w:rPr>
              <w:t>ע"ז</w:t>
            </w:r>
            <w:r>
              <w:rPr>
                <w:rFonts w:hint="cs"/>
                <w:rtl/>
              </w:rPr>
              <w:t xml:space="preserve"> (</w:t>
            </w:r>
            <w:r w:rsidR="00DF2CB8">
              <w:rPr>
                <w:rFonts w:hint="cs"/>
                <w:rtl/>
              </w:rPr>
              <w:t>7</w:t>
            </w:r>
            <w:r>
              <w:rPr>
                <w:rFonts w:hint="cs"/>
                <w:rtl/>
              </w:rPr>
              <w:t xml:space="preserve"> ב</w:t>
            </w:r>
            <w:r w:rsidR="00DF2CB8">
              <w:rPr>
                <w:rFonts w:hint="cs"/>
                <w:rtl/>
              </w:rPr>
              <w:t>אוגוסט</w:t>
            </w:r>
            <w:r>
              <w:rPr>
                <w:rFonts w:hint="cs"/>
                <w:rtl/>
              </w:rPr>
              <w:t xml:space="preserve"> 20</w:t>
            </w:r>
            <w:r w:rsidR="00DF2CB8">
              <w:rPr>
                <w:rFonts w:hint="cs"/>
                <w:rtl/>
              </w:rPr>
              <w:t>17</w:t>
            </w:r>
            <w:r>
              <w:rPr>
                <w:rFonts w:hint="cs"/>
                <w:rtl/>
              </w:rPr>
              <w:t>);</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6"/>
              </w:numPr>
            </w:pPr>
          </w:p>
        </w:tc>
        <w:tc>
          <w:tcPr>
            <w:tcW w:w="5274" w:type="dxa"/>
            <w:tcBorders>
              <w:top w:val="nil"/>
              <w:left w:val="nil"/>
              <w:bottom w:val="nil"/>
              <w:right w:val="nil"/>
            </w:tcBorders>
          </w:tcPr>
          <w:p w:rsidR="002311A7" w:rsidRPr="00577332" w:rsidRDefault="000F2AD1" w:rsidP="007E1296">
            <w:pPr>
              <w:pStyle w:val="TableBlock"/>
            </w:pPr>
            <w:r>
              <w:rPr>
                <w:rFonts w:hint="cs"/>
                <w:rtl/>
              </w:rPr>
              <w:t xml:space="preserve">במועד הגשתה, הבקשה להקלה אינה חורגת מהמגבלה שנקבעה בהחלטת הוועדה המקומית כאמור בפסקה (2), ככל שנקבעה; לא החליטה הוועדה המקומית על קביעת מגבלה כאמור בפסקה (2), תינתן ההקלה אם לא הוכח להנחת דעתה של הוועדה המקומית, לפי חוות דעת מהנדס הוועדה שהוצגה לפניה בכתב, אם הוצגה, כי מוסדות הציבור, השטחים הפתוחים, התשתיות ושטחי החניה אינם נותנים מענה לצרכים הנובעים מהגדלת מספר דירות המגורים </w:t>
            </w:r>
            <w:r w:rsidR="002311A7">
              <w:rPr>
                <w:rFonts w:hint="cs"/>
                <w:rtl/>
              </w:rPr>
              <w:t>או מהגדלת השטח הכולל המותר לבנייה</w:t>
            </w:r>
            <w:r>
              <w:rPr>
                <w:rFonts w:hint="cs"/>
                <w:rtl/>
              </w:rPr>
              <w:t>;</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6"/>
              </w:numPr>
              <w:rPr>
                <w:rtl/>
              </w:rPr>
            </w:pPr>
          </w:p>
        </w:tc>
        <w:tc>
          <w:tcPr>
            <w:tcW w:w="5274" w:type="dxa"/>
            <w:tcBorders>
              <w:top w:val="nil"/>
              <w:left w:val="nil"/>
              <w:bottom w:val="nil"/>
              <w:right w:val="nil"/>
            </w:tcBorders>
          </w:tcPr>
          <w:p w:rsidR="002311A7" w:rsidRDefault="000F2AD1" w:rsidP="00F244D9">
            <w:pPr>
              <w:pStyle w:val="TableBlock"/>
              <w:rPr>
                <w:rtl/>
              </w:rPr>
            </w:pPr>
            <w:r>
              <w:rPr>
                <w:rFonts w:hint="cs"/>
                <w:rtl/>
              </w:rPr>
              <w:t xml:space="preserve">לא הוגשה התנגדות לבקשה להקלה לפי סעיף 149, ואם הוגשה התנגדות כאמור </w:t>
            </w:r>
            <w:r>
              <w:rPr>
                <w:rtl/>
              </w:rPr>
              <w:t>–</w:t>
            </w:r>
            <w:r>
              <w:rPr>
                <w:rFonts w:hint="cs"/>
                <w:rtl/>
              </w:rPr>
              <w:t xml:space="preserve"> הוכח להנחת דעתה של הוועדה המקומית כי אין במתן הקלה לפי סעיף קטן זה כדי לגרום</w:t>
            </w:r>
            <w:r w:rsidR="00B355E2">
              <w:rPr>
                <w:rFonts w:hint="cs"/>
                <w:rtl/>
              </w:rPr>
              <w:t xml:space="preserve"> </w:t>
            </w:r>
            <w:r>
              <w:rPr>
                <w:rFonts w:hint="cs"/>
                <w:rtl/>
              </w:rPr>
              <w:t>לפגיעה בלתי סבירה במי שהגיש התנגדות כאמור.</w:t>
            </w:r>
            <w:r w:rsidDel="000F2AD1">
              <w:rPr>
                <w:rFonts w:hint="cs"/>
                <w:rtl/>
              </w:rPr>
              <w:t xml:space="preserve"> </w:t>
            </w:r>
            <w:r w:rsidR="006B1506">
              <w:rPr>
                <w:rFonts w:hint="cs"/>
                <w:rtl/>
              </w:rPr>
              <w:t>על אף האמור, לענין תוספת שטח כולל מותר לבניה לפי פסקת משנה (</w:t>
            </w:r>
            <w:r w:rsidR="008D60D1">
              <w:rPr>
                <w:rFonts w:hint="cs"/>
                <w:rtl/>
              </w:rPr>
              <w:t>ד</w:t>
            </w:r>
            <w:r w:rsidR="006B1506">
              <w:rPr>
                <w:rFonts w:hint="cs"/>
                <w:rtl/>
              </w:rPr>
              <w:t>), רשאית הועדה המקומית שלא לאשר את התוספת, כולה או חלקה, אף אם לא הוגשה התנגדות</w:t>
            </w:r>
            <w:r w:rsidR="008E14DD">
              <w:rPr>
                <w:rFonts w:hint="cs"/>
                <w:rtl/>
              </w:rPr>
              <w:t>.</w:t>
            </w:r>
          </w:p>
        </w:tc>
      </w:tr>
      <w:tr w:rsidR="00580642" w:rsidTr="00EB54E1">
        <w:trPr>
          <w:cantSplit/>
          <w:trHeight w:val="60"/>
        </w:trPr>
        <w:tc>
          <w:tcPr>
            <w:tcW w:w="1871" w:type="dxa"/>
            <w:tcBorders>
              <w:top w:val="nil"/>
              <w:left w:val="nil"/>
              <w:bottom w:val="nil"/>
              <w:right w:val="nil"/>
            </w:tcBorders>
          </w:tcPr>
          <w:p w:rsidR="00580642" w:rsidRDefault="00580642" w:rsidP="002311A7">
            <w:pPr>
              <w:pStyle w:val="TableSideHeading"/>
            </w:pPr>
          </w:p>
        </w:tc>
        <w:tc>
          <w:tcPr>
            <w:tcW w:w="624" w:type="dxa"/>
            <w:tcBorders>
              <w:top w:val="nil"/>
              <w:left w:val="nil"/>
              <w:bottom w:val="nil"/>
              <w:right w:val="nil"/>
            </w:tcBorders>
          </w:tcPr>
          <w:p w:rsidR="00580642" w:rsidRDefault="00580642" w:rsidP="002311A7">
            <w:pPr>
              <w:pStyle w:val="TableText"/>
            </w:pPr>
          </w:p>
        </w:tc>
        <w:tc>
          <w:tcPr>
            <w:tcW w:w="624" w:type="dxa"/>
            <w:tcBorders>
              <w:top w:val="nil"/>
              <w:left w:val="nil"/>
              <w:bottom w:val="nil"/>
              <w:right w:val="nil"/>
            </w:tcBorders>
          </w:tcPr>
          <w:p w:rsidR="00580642" w:rsidRDefault="00580642" w:rsidP="002311A7">
            <w:pPr>
              <w:pStyle w:val="TableText"/>
            </w:pPr>
          </w:p>
        </w:tc>
        <w:tc>
          <w:tcPr>
            <w:tcW w:w="624" w:type="dxa"/>
            <w:tcBorders>
              <w:top w:val="nil"/>
              <w:left w:val="nil"/>
              <w:bottom w:val="nil"/>
              <w:right w:val="nil"/>
            </w:tcBorders>
          </w:tcPr>
          <w:p w:rsidR="00580642" w:rsidRDefault="00580642" w:rsidP="002311A7">
            <w:pPr>
              <w:pStyle w:val="TableText"/>
            </w:pPr>
          </w:p>
        </w:tc>
        <w:tc>
          <w:tcPr>
            <w:tcW w:w="624" w:type="dxa"/>
            <w:tcBorders>
              <w:top w:val="nil"/>
              <w:left w:val="nil"/>
              <w:bottom w:val="nil"/>
              <w:right w:val="nil"/>
            </w:tcBorders>
          </w:tcPr>
          <w:p w:rsidR="00580642" w:rsidRDefault="00580642" w:rsidP="002311A7">
            <w:pPr>
              <w:pStyle w:val="TableText"/>
              <w:numPr>
                <w:ilvl w:val="0"/>
                <w:numId w:val="16"/>
              </w:numPr>
              <w:rPr>
                <w:rtl/>
              </w:rPr>
            </w:pPr>
          </w:p>
        </w:tc>
        <w:tc>
          <w:tcPr>
            <w:tcW w:w="5274" w:type="dxa"/>
            <w:tcBorders>
              <w:top w:val="nil"/>
              <w:left w:val="nil"/>
              <w:bottom w:val="nil"/>
              <w:right w:val="nil"/>
            </w:tcBorders>
          </w:tcPr>
          <w:p w:rsidR="00580642" w:rsidRDefault="002216E3" w:rsidP="000E0FF2">
            <w:pPr>
              <w:pStyle w:val="TableBlock"/>
              <w:rPr>
                <w:rtl/>
              </w:rPr>
            </w:pPr>
            <w:r>
              <w:rPr>
                <w:rFonts w:hint="cs"/>
                <w:rtl/>
              </w:rPr>
              <w:t>המגרש לא נמצא במתחם השפעה</w:t>
            </w:r>
            <w:r w:rsidR="00E30D75">
              <w:rPr>
                <w:rFonts w:hint="cs"/>
                <w:rtl/>
              </w:rPr>
              <w:t>,</w:t>
            </w:r>
            <w:r>
              <w:rPr>
                <w:rFonts w:hint="cs"/>
                <w:rtl/>
              </w:rPr>
              <w:t xml:space="preserve"> כהגדרתו בחוק רכבת תחתית (מטרו)</w:t>
            </w:r>
            <w:r w:rsidR="00E30D75">
              <w:rPr>
                <w:rFonts w:hint="cs"/>
                <w:rtl/>
              </w:rPr>
              <w:t>,</w:t>
            </w:r>
            <w:r>
              <w:rPr>
                <w:rFonts w:hint="cs"/>
                <w:rtl/>
              </w:rPr>
              <w:t xml:space="preserve"> </w:t>
            </w:r>
            <w:r w:rsidR="00E30D75">
              <w:rPr>
                <w:rFonts w:hint="cs"/>
                <w:rtl/>
              </w:rPr>
              <w:t>ה</w:t>
            </w:r>
            <w:r>
              <w:rPr>
                <w:rFonts w:hint="cs"/>
                <w:rtl/>
              </w:rPr>
              <w:t xml:space="preserve">תשפ"ב </w:t>
            </w:r>
            <w:r w:rsidR="00F27EF4">
              <w:rPr>
                <w:rtl/>
              </w:rPr>
              <w:t>–</w:t>
            </w:r>
            <w:r>
              <w:rPr>
                <w:rFonts w:hint="cs"/>
                <w:rtl/>
              </w:rPr>
              <w:t xml:space="preserve"> 2021</w:t>
            </w:r>
            <w:r w:rsidR="00F27EF4">
              <w:rPr>
                <w:rFonts w:hint="cs"/>
                <w:rtl/>
              </w:rPr>
              <w:t>.</w:t>
            </w:r>
            <w:r>
              <w:rPr>
                <w:rFonts w:hint="cs"/>
                <w:rtl/>
              </w:rPr>
              <w:t xml:space="preserve"> </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4"/>
              </w:numPr>
            </w:pPr>
          </w:p>
        </w:tc>
        <w:tc>
          <w:tcPr>
            <w:tcW w:w="5898" w:type="dxa"/>
            <w:gridSpan w:val="2"/>
            <w:tcBorders>
              <w:top w:val="nil"/>
              <w:left w:val="nil"/>
              <w:bottom w:val="nil"/>
              <w:right w:val="nil"/>
            </w:tcBorders>
          </w:tcPr>
          <w:p w:rsidR="002311A7" w:rsidRPr="00577332" w:rsidRDefault="00B355E2" w:rsidP="00EB54E1">
            <w:pPr>
              <w:pStyle w:val="TableBlock"/>
            </w:pPr>
            <w:r>
              <w:rPr>
                <w:rtl/>
              </w:rPr>
              <w:t>ועדה מקומית רשאית לקבוע, לאחר שהוצגה לפניה חוות דעת בכתב של</w:t>
            </w:r>
            <w:r>
              <w:rPr>
                <w:rFonts w:hint="cs"/>
                <w:rtl/>
              </w:rPr>
              <w:t xml:space="preserve"> </w:t>
            </w:r>
            <w:r>
              <w:rPr>
                <w:rtl/>
              </w:rPr>
              <w:t xml:space="preserve">מהנדס הוועדה, את מספר דירות המגורים המרבי שהיא תתיר לפצל </w:t>
            </w:r>
            <w:r>
              <w:rPr>
                <w:rFonts w:hint="cs"/>
                <w:rtl/>
              </w:rPr>
              <w:t xml:space="preserve">או להוסיף </w:t>
            </w:r>
            <w:r>
              <w:rPr>
                <w:rtl/>
              </w:rPr>
              <w:t>לפי הוראות</w:t>
            </w:r>
            <w:r>
              <w:rPr>
                <w:rFonts w:hint="cs"/>
                <w:rtl/>
              </w:rPr>
              <w:t xml:space="preserve"> </w:t>
            </w:r>
            <w:r>
              <w:rPr>
                <w:rtl/>
              </w:rPr>
              <w:t>סעיף קטן זה בתחום מרחב התכנון שלה כולו או חלקו, בהתחשב במוסדות</w:t>
            </w:r>
            <w:r>
              <w:rPr>
                <w:rFonts w:hint="cs"/>
                <w:rtl/>
              </w:rPr>
              <w:t xml:space="preserve"> </w:t>
            </w:r>
            <w:r>
              <w:rPr>
                <w:rtl/>
              </w:rPr>
              <w:t>הציבור, השטחים הפתוחים, התשתיות ושטחי החניה הקיימים בכל אזור במרחב</w:t>
            </w:r>
            <w:r>
              <w:rPr>
                <w:rFonts w:hint="cs"/>
                <w:rtl/>
              </w:rPr>
              <w:t xml:space="preserve"> </w:t>
            </w:r>
            <w:r>
              <w:rPr>
                <w:rtl/>
              </w:rPr>
              <w:t>התכנון, ובלבד שהמספר האמור לא יפחת מ־20% ממספר הדירות צמודות הקרקע</w:t>
            </w:r>
            <w:r>
              <w:rPr>
                <w:rFonts w:hint="cs"/>
                <w:rtl/>
              </w:rPr>
              <w:t xml:space="preserve"> </w:t>
            </w:r>
            <w:r>
              <w:rPr>
                <w:rtl/>
              </w:rPr>
              <w:t>שבתחומה; החלטת הוועדה המקומית כאמור תפורסם באתר האינטרנט שלה</w:t>
            </w:r>
            <w:r>
              <w:rPr>
                <w:rFonts w:hint="cs"/>
                <w:rtl/>
              </w:rPr>
              <w:t xml:space="preserve"> </w:t>
            </w:r>
            <w:r>
              <w:rPr>
                <w:rtl/>
              </w:rPr>
              <w:t>והודעה על כך תפורסם בעיתון; הרואה את עצמו נפגע על ידי החלטה כאמור</w:t>
            </w:r>
            <w:r>
              <w:rPr>
                <w:rFonts w:hint="cs"/>
                <w:rtl/>
              </w:rPr>
              <w:t xml:space="preserve"> </w:t>
            </w:r>
            <w:r>
              <w:rPr>
                <w:rtl/>
              </w:rPr>
              <w:t>שקבעה ועדה מקומית, רשאי לערור לוועדת הערר בתוך שלושים ימים מיום</w:t>
            </w:r>
            <w:r>
              <w:rPr>
                <w:rFonts w:hint="cs"/>
                <w:rtl/>
              </w:rPr>
              <w:t xml:space="preserve"> </w:t>
            </w:r>
            <w:r>
              <w:rPr>
                <w:rtl/>
              </w:rPr>
              <w:t>פרסומה.</w:t>
            </w:r>
          </w:p>
        </w:tc>
      </w:tr>
      <w:tr w:rsidR="008E2756" w:rsidTr="00EB54E1">
        <w:trPr>
          <w:cantSplit/>
          <w:trHeight w:val="60"/>
        </w:trPr>
        <w:tc>
          <w:tcPr>
            <w:tcW w:w="1871" w:type="dxa"/>
            <w:tcBorders>
              <w:top w:val="nil"/>
              <w:left w:val="nil"/>
              <w:bottom w:val="nil"/>
              <w:right w:val="nil"/>
            </w:tcBorders>
          </w:tcPr>
          <w:p w:rsidR="008E2756" w:rsidRDefault="008E2756" w:rsidP="002311A7">
            <w:pPr>
              <w:pStyle w:val="TableSideHeading"/>
            </w:pPr>
          </w:p>
        </w:tc>
        <w:tc>
          <w:tcPr>
            <w:tcW w:w="624" w:type="dxa"/>
            <w:tcBorders>
              <w:top w:val="nil"/>
              <w:left w:val="nil"/>
              <w:bottom w:val="nil"/>
              <w:right w:val="nil"/>
            </w:tcBorders>
          </w:tcPr>
          <w:p w:rsidR="008E2756" w:rsidRDefault="008E2756" w:rsidP="002311A7">
            <w:pPr>
              <w:pStyle w:val="TableText"/>
            </w:pPr>
          </w:p>
        </w:tc>
        <w:tc>
          <w:tcPr>
            <w:tcW w:w="624" w:type="dxa"/>
            <w:tcBorders>
              <w:top w:val="nil"/>
              <w:left w:val="nil"/>
              <w:bottom w:val="nil"/>
              <w:right w:val="nil"/>
            </w:tcBorders>
          </w:tcPr>
          <w:p w:rsidR="008E2756" w:rsidRDefault="008E2756" w:rsidP="002311A7">
            <w:pPr>
              <w:pStyle w:val="TableText"/>
            </w:pPr>
          </w:p>
        </w:tc>
        <w:tc>
          <w:tcPr>
            <w:tcW w:w="624" w:type="dxa"/>
            <w:tcBorders>
              <w:top w:val="nil"/>
              <w:left w:val="nil"/>
              <w:bottom w:val="nil"/>
              <w:right w:val="nil"/>
            </w:tcBorders>
          </w:tcPr>
          <w:p w:rsidR="008E2756" w:rsidRDefault="008E2756" w:rsidP="00454B35">
            <w:pPr>
              <w:pStyle w:val="TableText"/>
              <w:numPr>
                <w:ilvl w:val="0"/>
                <w:numId w:val="14"/>
              </w:numPr>
            </w:pPr>
            <w:r>
              <w:rPr>
                <w:rFonts w:hint="cs"/>
                <w:rtl/>
              </w:rPr>
              <w:t xml:space="preserve">( </w:t>
            </w:r>
          </w:p>
        </w:tc>
        <w:tc>
          <w:tcPr>
            <w:tcW w:w="5898" w:type="dxa"/>
            <w:gridSpan w:val="2"/>
            <w:tcBorders>
              <w:top w:val="nil"/>
              <w:left w:val="nil"/>
              <w:bottom w:val="nil"/>
              <w:right w:val="nil"/>
            </w:tcBorders>
          </w:tcPr>
          <w:p w:rsidR="008E2756" w:rsidRDefault="008E2756" w:rsidP="007E1296">
            <w:pPr>
              <w:pStyle w:val="TableBlock"/>
              <w:rPr>
                <w:rtl/>
              </w:rPr>
            </w:pPr>
            <w:r>
              <w:rPr>
                <w:rFonts w:hint="cs"/>
                <w:rtl/>
              </w:rPr>
              <w:t xml:space="preserve">ביישוב שנקבעה לגביו מגבלת כמות במחוז הצפון או במחוז הדרום, לא יובאו בחשבון מגבלת הכמות דירות מגורים שניתנה לגביהן הקלה לפי סעיף קטן זה, בשיעור של עד 15% מהיקף יחידות הדיור שנקבעה במגבלת הכמות, ולעניין פסקה (2), לא תהיה מגבלה ביישוב כאמור, אף אם אינו במחוז הצפון או במחוז הדרום, על מספר דירות המגורים המזערי שוועדה מקומית רשאית להתיר לפצל או להוסיף בתחום היישוב. בפסקת משנה זו </w:t>
            </w:r>
            <w:r>
              <w:rPr>
                <w:rtl/>
              </w:rPr>
              <w:t>–</w:t>
            </w:r>
            <w:r>
              <w:rPr>
                <w:rFonts w:hint="cs"/>
                <w:rtl/>
              </w:rPr>
              <w:t xml:space="preserve"> "מגבלת כמות" </w:t>
            </w:r>
            <w:r>
              <w:rPr>
                <w:rtl/>
              </w:rPr>
              <w:t>–</w:t>
            </w:r>
            <w:r>
              <w:rPr>
                <w:rFonts w:hint="cs"/>
                <w:rtl/>
              </w:rPr>
              <w:t xml:space="preserve"> מגבלה על היקף יחידות הדיור בתכנית מיתאר ארצית משולבת לבנייה, לפיתוח ולשימור (תמ"א 35).</w:t>
            </w:r>
          </w:p>
        </w:tc>
      </w:tr>
      <w:tr w:rsidR="007E1296" w:rsidTr="00EB54E1">
        <w:trPr>
          <w:cantSplit/>
          <w:trHeight w:val="60"/>
        </w:trPr>
        <w:tc>
          <w:tcPr>
            <w:tcW w:w="1871" w:type="dxa"/>
            <w:tcBorders>
              <w:top w:val="nil"/>
              <w:left w:val="nil"/>
              <w:bottom w:val="nil"/>
              <w:right w:val="nil"/>
            </w:tcBorders>
          </w:tcPr>
          <w:p w:rsidR="007E1296" w:rsidRDefault="007E1296" w:rsidP="002311A7">
            <w:pPr>
              <w:pStyle w:val="TableSideHeading"/>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numPr>
                <w:ilvl w:val="0"/>
                <w:numId w:val="14"/>
              </w:numPr>
            </w:pPr>
          </w:p>
        </w:tc>
        <w:tc>
          <w:tcPr>
            <w:tcW w:w="5898" w:type="dxa"/>
            <w:gridSpan w:val="2"/>
            <w:tcBorders>
              <w:top w:val="nil"/>
              <w:left w:val="nil"/>
              <w:bottom w:val="nil"/>
              <w:right w:val="nil"/>
            </w:tcBorders>
          </w:tcPr>
          <w:p w:rsidR="007E1296" w:rsidRDefault="007E1296" w:rsidP="007E1296">
            <w:pPr>
              <w:pStyle w:val="TableBlock"/>
              <w:rPr>
                <w:rtl/>
              </w:rPr>
            </w:pPr>
            <w:r>
              <w:rPr>
                <w:rtl/>
              </w:rPr>
              <w:t>דירת מגורים שנוספה בשל ההקלה תשמש להשכרה בלבד או למגורי קרוב,</w:t>
            </w:r>
            <w:r>
              <w:rPr>
                <w:rFonts w:hint="cs"/>
                <w:rtl/>
              </w:rPr>
              <w:t xml:space="preserve"> </w:t>
            </w:r>
            <w:r>
              <w:rPr>
                <w:rtl/>
              </w:rPr>
              <w:t>כהגדרתו בתוספת השלישית, בלא העברת הבעלות בה לאותו קרוב, ולא יינתן</w:t>
            </w:r>
            <w:r>
              <w:rPr>
                <w:rFonts w:hint="cs"/>
                <w:rtl/>
              </w:rPr>
              <w:t xml:space="preserve"> </w:t>
            </w:r>
            <w:r>
              <w:rPr>
                <w:rtl/>
              </w:rPr>
              <w:t>לגביה היתר לשימוש חורג לשימוש שאינו למגורים; החליטה הוועדה המקומית</w:t>
            </w:r>
            <w:r>
              <w:rPr>
                <w:rFonts w:hint="cs"/>
                <w:rtl/>
              </w:rPr>
              <w:t xml:space="preserve"> </w:t>
            </w:r>
            <w:r>
              <w:rPr>
                <w:rtl/>
              </w:rPr>
              <w:t>על מתן ההקלה, לא יינתן היתר אלא אם כן נרשמה הערה, לבקשת יושב ראש</w:t>
            </w:r>
            <w:r>
              <w:rPr>
                <w:rFonts w:hint="cs"/>
                <w:rtl/>
              </w:rPr>
              <w:t xml:space="preserve"> </w:t>
            </w:r>
            <w:r>
              <w:rPr>
                <w:rtl/>
              </w:rPr>
              <w:t>הוועדה המקומית, שלפיה ייעוד יחידת הדיור נושא ההקלה הוא להשכרה או</w:t>
            </w:r>
            <w:r>
              <w:rPr>
                <w:rFonts w:hint="cs"/>
                <w:rtl/>
              </w:rPr>
              <w:t xml:space="preserve"> </w:t>
            </w:r>
            <w:r>
              <w:rPr>
                <w:rtl/>
              </w:rPr>
              <w:t>למגורי קרוב, בלבד</w:t>
            </w:r>
            <w:r>
              <w:rPr>
                <w:rFonts w:hint="cs"/>
                <w:rtl/>
              </w:rPr>
              <w:t>.</w:t>
            </w:r>
          </w:p>
        </w:tc>
      </w:tr>
      <w:tr w:rsidR="007E1296" w:rsidTr="00EB54E1">
        <w:trPr>
          <w:cantSplit/>
          <w:trHeight w:val="60"/>
        </w:trPr>
        <w:tc>
          <w:tcPr>
            <w:tcW w:w="1871" w:type="dxa"/>
            <w:tcBorders>
              <w:top w:val="nil"/>
              <w:left w:val="nil"/>
              <w:bottom w:val="nil"/>
              <w:right w:val="nil"/>
            </w:tcBorders>
          </w:tcPr>
          <w:p w:rsidR="007E1296" w:rsidRDefault="007E1296" w:rsidP="002311A7">
            <w:pPr>
              <w:pStyle w:val="TableSideHeading"/>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numPr>
                <w:ilvl w:val="0"/>
                <w:numId w:val="14"/>
              </w:numPr>
            </w:pPr>
          </w:p>
        </w:tc>
        <w:tc>
          <w:tcPr>
            <w:tcW w:w="5898" w:type="dxa"/>
            <w:gridSpan w:val="2"/>
            <w:tcBorders>
              <w:top w:val="nil"/>
              <w:left w:val="nil"/>
              <w:bottom w:val="nil"/>
              <w:right w:val="nil"/>
            </w:tcBorders>
          </w:tcPr>
          <w:p w:rsidR="007E1296" w:rsidRDefault="007E1296" w:rsidP="007E1296">
            <w:pPr>
              <w:pStyle w:val="TableBlock"/>
              <w:rPr>
                <w:rtl/>
              </w:rPr>
            </w:pPr>
            <w:r>
              <w:rPr>
                <w:rtl/>
              </w:rPr>
              <w:t>ניתנה הקלה לתוספת דירות למגורים מהמספר המרבי של דירות המגורים</w:t>
            </w:r>
            <w:r>
              <w:rPr>
                <w:rFonts w:hint="cs"/>
                <w:rtl/>
              </w:rPr>
              <w:t xml:space="preserve"> </w:t>
            </w:r>
            <w:r>
              <w:rPr>
                <w:rtl/>
              </w:rPr>
              <w:t>המותר לבנייה על המגרש לפי סעיף קטן</w:t>
            </w:r>
            <w:r>
              <w:rPr>
                <w:rFonts w:hint="cs"/>
                <w:rtl/>
              </w:rPr>
              <w:t xml:space="preserve"> (א)</w:t>
            </w:r>
            <w:r>
              <w:rPr>
                <w:rtl/>
              </w:rPr>
              <w:t>, תופחת תוספת זו משיעור</w:t>
            </w:r>
            <w:r>
              <w:rPr>
                <w:rFonts w:hint="cs"/>
                <w:rtl/>
              </w:rPr>
              <w:t xml:space="preserve"> תוספת</w:t>
            </w:r>
            <w:r>
              <w:rPr>
                <w:rtl/>
              </w:rPr>
              <w:t xml:space="preserve"> דירות המגורים שיש לתת לפי סעיף קטן זה.</w:t>
            </w:r>
          </w:p>
        </w:tc>
      </w:tr>
      <w:tr w:rsidR="007E1296" w:rsidTr="00EB54E1">
        <w:trPr>
          <w:cantSplit/>
          <w:trHeight w:val="60"/>
        </w:trPr>
        <w:tc>
          <w:tcPr>
            <w:tcW w:w="1871" w:type="dxa"/>
            <w:tcBorders>
              <w:top w:val="nil"/>
              <w:left w:val="nil"/>
              <w:bottom w:val="nil"/>
              <w:right w:val="nil"/>
            </w:tcBorders>
          </w:tcPr>
          <w:p w:rsidR="007E1296" w:rsidRDefault="007E1296" w:rsidP="002311A7">
            <w:pPr>
              <w:pStyle w:val="TableSideHeading"/>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numPr>
                <w:ilvl w:val="0"/>
                <w:numId w:val="14"/>
              </w:numPr>
            </w:pPr>
          </w:p>
        </w:tc>
        <w:tc>
          <w:tcPr>
            <w:tcW w:w="5898" w:type="dxa"/>
            <w:gridSpan w:val="2"/>
            <w:tcBorders>
              <w:top w:val="nil"/>
              <w:left w:val="nil"/>
              <w:bottom w:val="nil"/>
              <w:right w:val="nil"/>
            </w:tcBorders>
          </w:tcPr>
          <w:p w:rsidR="007E1296" w:rsidRDefault="007E1296" w:rsidP="007E1296">
            <w:pPr>
              <w:pStyle w:val="TableBlock"/>
              <w:rPr>
                <w:rtl/>
              </w:rPr>
            </w:pPr>
            <w:r>
              <w:rPr>
                <w:rtl/>
              </w:rPr>
              <w:t>תוספת דירות מגורים שניתנה בהקלה לפי סעיף קטן זה תופחת משיעור</w:t>
            </w:r>
            <w:r>
              <w:rPr>
                <w:rFonts w:hint="cs"/>
                <w:rtl/>
              </w:rPr>
              <w:t xml:space="preserve"> </w:t>
            </w:r>
            <w:r>
              <w:rPr>
                <w:rtl/>
              </w:rPr>
              <w:t>תוספת דירות המגורים המרבי שאפשר לתת לפי הוראות סעיף זה.</w:t>
            </w:r>
          </w:p>
        </w:tc>
      </w:tr>
      <w:tr w:rsidR="007E1296" w:rsidTr="00EB54E1">
        <w:trPr>
          <w:cantSplit/>
          <w:trHeight w:val="60"/>
        </w:trPr>
        <w:tc>
          <w:tcPr>
            <w:tcW w:w="1871" w:type="dxa"/>
            <w:tcBorders>
              <w:top w:val="nil"/>
              <w:left w:val="nil"/>
              <w:bottom w:val="nil"/>
              <w:right w:val="nil"/>
            </w:tcBorders>
          </w:tcPr>
          <w:p w:rsidR="007E1296" w:rsidRDefault="007E1296" w:rsidP="002311A7">
            <w:pPr>
              <w:pStyle w:val="TableSideHeading"/>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pPr>
          </w:p>
        </w:tc>
        <w:tc>
          <w:tcPr>
            <w:tcW w:w="624" w:type="dxa"/>
            <w:tcBorders>
              <w:top w:val="nil"/>
              <w:left w:val="nil"/>
              <w:bottom w:val="nil"/>
              <w:right w:val="nil"/>
            </w:tcBorders>
          </w:tcPr>
          <w:p w:rsidR="007E1296" w:rsidRDefault="007E1296" w:rsidP="002311A7">
            <w:pPr>
              <w:pStyle w:val="TableText"/>
              <w:numPr>
                <w:ilvl w:val="0"/>
                <w:numId w:val="14"/>
              </w:numPr>
            </w:pPr>
          </w:p>
        </w:tc>
        <w:tc>
          <w:tcPr>
            <w:tcW w:w="5898" w:type="dxa"/>
            <w:gridSpan w:val="2"/>
            <w:tcBorders>
              <w:top w:val="nil"/>
              <w:left w:val="nil"/>
              <w:bottom w:val="nil"/>
              <w:right w:val="nil"/>
            </w:tcBorders>
          </w:tcPr>
          <w:p w:rsidR="007E1296" w:rsidRDefault="007E1296" w:rsidP="003177AD">
            <w:pPr>
              <w:pStyle w:val="TableBlock"/>
              <w:rPr>
                <w:rtl/>
              </w:rPr>
            </w:pPr>
            <w:r>
              <w:rPr>
                <w:rtl/>
              </w:rPr>
              <w:t>היתה בקשת ההקלה לפי סעיף קטן זה לתוספת דירת מגורים ששטחה אינו</w:t>
            </w:r>
            <w:r w:rsidR="003177AD">
              <w:rPr>
                <w:rFonts w:hint="cs"/>
                <w:rtl/>
              </w:rPr>
              <w:t xml:space="preserve"> </w:t>
            </w:r>
            <w:r>
              <w:rPr>
                <w:rtl/>
              </w:rPr>
              <w:t>עולה על 60 מ"ר, לא תתנה הוועדה המקומית את מתן ההקלה בהתקנת מקומות</w:t>
            </w:r>
            <w:r w:rsidR="003177AD">
              <w:rPr>
                <w:rFonts w:hint="cs"/>
                <w:rtl/>
              </w:rPr>
              <w:t xml:space="preserve"> </w:t>
            </w:r>
            <w:r>
              <w:rPr>
                <w:rtl/>
              </w:rPr>
              <w:t>חניה נוספים במספר הנדרש לפי דין בתחום המגרש נושא ההקלה, כולם או</w:t>
            </w:r>
            <w:r w:rsidR="003177AD">
              <w:rPr>
                <w:rFonts w:hint="cs"/>
                <w:rtl/>
              </w:rPr>
              <w:t xml:space="preserve"> </w:t>
            </w:r>
            <w:r>
              <w:rPr>
                <w:rtl/>
              </w:rPr>
              <w:t>חלקם, ואולם הוועדה המקומית רשאית לחייב את מבקש ההקלה להשתתף</w:t>
            </w:r>
            <w:r w:rsidR="003177AD">
              <w:rPr>
                <w:rFonts w:hint="cs"/>
                <w:rtl/>
              </w:rPr>
              <w:t xml:space="preserve"> </w:t>
            </w:r>
            <w:r>
              <w:rPr>
                <w:rtl/>
              </w:rPr>
              <w:t>בהתקנתו של מקום חניה אחד בחניון ציבורי באזור המגרש נושא ההקלה,</w:t>
            </w:r>
          </w:p>
          <w:p w:rsidR="007E1296" w:rsidRDefault="007E1296" w:rsidP="003177AD">
            <w:pPr>
              <w:pStyle w:val="TableBlock"/>
              <w:rPr>
                <w:rtl/>
              </w:rPr>
            </w:pPr>
            <w:r>
              <w:rPr>
                <w:rtl/>
              </w:rPr>
              <w:t>בסכום שיקבע שמאי מטעם מוסד התכנון, ויחולו לעניין זה הוראת סעיף 158א3,</w:t>
            </w:r>
            <w:r w:rsidR="003177AD">
              <w:rPr>
                <w:rFonts w:hint="cs"/>
                <w:rtl/>
              </w:rPr>
              <w:t xml:space="preserve"> </w:t>
            </w:r>
            <w:r>
              <w:rPr>
                <w:rtl/>
              </w:rPr>
              <w:t>בשינויים המחויבים.</w:t>
            </w:r>
          </w:p>
        </w:tc>
      </w:tr>
      <w:tr w:rsidR="002311A7"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4"/>
              </w:numPr>
            </w:pPr>
          </w:p>
        </w:tc>
        <w:tc>
          <w:tcPr>
            <w:tcW w:w="5898" w:type="dxa"/>
            <w:gridSpan w:val="2"/>
            <w:tcBorders>
              <w:top w:val="nil"/>
              <w:left w:val="nil"/>
              <w:bottom w:val="nil"/>
              <w:right w:val="nil"/>
            </w:tcBorders>
          </w:tcPr>
          <w:p w:rsidR="002311A7" w:rsidRDefault="003177AD" w:rsidP="00EB54E1">
            <w:pPr>
              <w:pStyle w:val="TableBlock"/>
            </w:pPr>
            <w:r>
              <w:rPr>
                <w:rtl/>
              </w:rPr>
              <w:t>על אף האמור בהוראות לפי חוק זה או בתכנית החלה על המגרש, בהקלה</w:t>
            </w:r>
            <w:r>
              <w:rPr>
                <w:rFonts w:hint="cs"/>
                <w:rtl/>
              </w:rPr>
              <w:t xml:space="preserve"> בדרך של פיצול </w:t>
            </w:r>
            <w:r>
              <w:rPr>
                <w:rtl/>
              </w:rPr>
              <w:t>כאמור בסעיף קטן זה תתיר הוועדה המקומית את שינוי השימוש בשטח של</w:t>
            </w:r>
            <w:r>
              <w:rPr>
                <w:rFonts w:hint="cs"/>
                <w:rtl/>
              </w:rPr>
              <w:t xml:space="preserve"> </w:t>
            </w:r>
            <w:r>
              <w:rPr>
                <w:rtl/>
              </w:rPr>
              <w:t>הדירה, שנועד לשמש כשטח שירות למרתף או למחסן על פי תכנית, או שהוסף</w:t>
            </w:r>
            <w:r>
              <w:rPr>
                <w:rFonts w:hint="cs"/>
                <w:rtl/>
              </w:rPr>
              <w:t xml:space="preserve"> </w:t>
            </w:r>
            <w:r>
              <w:rPr>
                <w:rtl/>
              </w:rPr>
              <w:t>כשטח שירות כאמור לפי הוראות חוק זה, לשימוש כשטח למטרה עיקרית של</w:t>
            </w:r>
            <w:r w:rsidR="00610A3C">
              <w:rPr>
                <w:rtl/>
              </w:rPr>
              <w:t xml:space="preserve"> מגורים, ובלבד שסך השטח ששינוי כאמור יותר בו לא יעלה על 60 מ"ר, ומתוכו</w:t>
            </w:r>
            <w:r w:rsidR="00610A3C">
              <w:rPr>
                <w:rFonts w:hint="cs"/>
                <w:rtl/>
              </w:rPr>
              <w:t xml:space="preserve"> </w:t>
            </w:r>
            <w:r w:rsidR="00610A3C">
              <w:rPr>
                <w:rtl/>
              </w:rPr>
              <w:t>שטח המחסן שיותר שינוי השימוש בו לא יעלה על 7.5 מ"ר.</w:t>
            </w:r>
          </w:p>
        </w:tc>
      </w:tr>
      <w:tr w:rsidR="003177AD" w:rsidTr="00EB54E1">
        <w:trPr>
          <w:cantSplit/>
          <w:trHeight w:val="60"/>
        </w:trPr>
        <w:tc>
          <w:tcPr>
            <w:tcW w:w="1871" w:type="dxa"/>
            <w:tcBorders>
              <w:top w:val="nil"/>
              <w:left w:val="nil"/>
              <w:bottom w:val="nil"/>
              <w:right w:val="nil"/>
            </w:tcBorders>
          </w:tcPr>
          <w:p w:rsidR="003177AD" w:rsidRDefault="003177AD" w:rsidP="002311A7">
            <w:pPr>
              <w:pStyle w:val="TableSideHeading"/>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numPr>
                <w:ilvl w:val="0"/>
                <w:numId w:val="14"/>
              </w:numPr>
            </w:pPr>
          </w:p>
        </w:tc>
        <w:tc>
          <w:tcPr>
            <w:tcW w:w="5898" w:type="dxa"/>
            <w:gridSpan w:val="2"/>
            <w:tcBorders>
              <w:top w:val="nil"/>
              <w:left w:val="nil"/>
              <w:bottom w:val="nil"/>
              <w:right w:val="nil"/>
            </w:tcBorders>
          </w:tcPr>
          <w:p w:rsidR="003177AD" w:rsidRDefault="003177AD" w:rsidP="003177AD">
            <w:pPr>
              <w:pStyle w:val="TableBlock"/>
              <w:spacing w:before="240"/>
              <w:rPr>
                <w:rtl/>
              </w:rPr>
            </w:pPr>
            <w:r>
              <w:rPr>
                <w:rtl/>
              </w:rPr>
              <w:t>על אף האמור בסעיף 145, ביטול הפיצול שאושר מכוח סעיף קטן זה, והחזרת</w:t>
            </w:r>
            <w:r>
              <w:rPr>
                <w:rFonts w:hint="cs"/>
                <w:rtl/>
              </w:rPr>
              <w:t xml:space="preserve"> </w:t>
            </w:r>
            <w:r>
              <w:rPr>
                <w:rtl/>
              </w:rPr>
              <w:t>המצב לקדמותו, פטורים מהיתר, כאמור בסעיף 145ג, ויחולו לעניין זה הוראות</w:t>
            </w:r>
            <w:r>
              <w:rPr>
                <w:rFonts w:hint="cs"/>
                <w:rtl/>
              </w:rPr>
              <w:t xml:space="preserve"> </w:t>
            </w:r>
            <w:r>
              <w:rPr>
                <w:rtl/>
              </w:rPr>
              <w:t>סעיף 145ג</w:t>
            </w:r>
            <w:r>
              <w:rPr>
                <w:rFonts w:hint="cs"/>
                <w:rtl/>
              </w:rPr>
              <w:t>(</w:t>
            </w:r>
            <w:r>
              <w:rPr>
                <w:rtl/>
              </w:rPr>
              <w:t>ב</w:t>
            </w:r>
            <w:r>
              <w:rPr>
                <w:rFonts w:hint="cs"/>
                <w:rtl/>
              </w:rPr>
              <w:t>)</w:t>
            </w:r>
            <w:r>
              <w:rPr>
                <w:rtl/>
              </w:rPr>
              <w:t>.</w:t>
            </w:r>
          </w:p>
        </w:tc>
      </w:tr>
      <w:tr w:rsidR="002311A7" w:rsidRPr="003177AD" w:rsidTr="00EB54E1">
        <w:trPr>
          <w:cantSplit/>
          <w:trHeight w:val="60"/>
        </w:trPr>
        <w:tc>
          <w:tcPr>
            <w:tcW w:w="1871" w:type="dxa"/>
            <w:tcBorders>
              <w:top w:val="nil"/>
              <w:left w:val="nil"/>
              <w:bottom w:val="nil"/>
              <w:right w:val="nil"/>
            </w:tcBorders>
          </w:tcPr>
          <w:p w:rsidR="002311A7" w:rsidRDefault="002311A7" w:rsidP="002311A7">
            <w:pPr>
              <w:pStyle w:val="TableSideHeading"/>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pPr>
          </w:p>
        </w:tc>
        <w:tc>
          <w:tcPr>
            <w:tcW w:w="624" w:type="dxa"/>
            <w:tcBorders>
              <w:top w:val="nil"/>
              <w:left w:val="nil"/>
              <w:bottom w:val="nil"/>
              <w:right w:val="nil"/>
            </w:tcBorders>
          </w:tcPr>
          <w:p w:rsidR="002311A7" w:rsidRDefault="002311A7" w:rsidP="002311A7">
            <w:pPr>
              <w:pStyle w:val="TableText"/>
              <w:numPr>
                <w:ilvl w:val="0"/>
                <w:numId w:val="14"/>
              </w:numPr>
            </w:pPr>
          </w:p>
        </w:tc>
        <w:tc>
          <w:tcPr>
            <w:tcW w:w="5898" w:type="dxa"/>
            <w:gridSpan w:val="2"/>
            <w:tcBorders>
              <w:top w:val="nil"/>
              <w:left w:val="nil"/>
              <w:bottom w:val="nil"/>
              <w:right w:val="nil"/>
            </w:tcBorders>
          </w:tcPr>
          <w:p w:rsidR="002311A7" w:rsidRDefault="003177AD" w:rsidP="00F244D9">
            <w:pPr>
              <w:pStyle w:val="TableBlock"/>
              <w:spacing w:before="240"/>
            </w:pPr>
            <w:r>
              <w:rPr>
                <w:rtl/>
              </w:rPr>
              <w:t>על אף האמור בתוספת השלישית, על השבחה במקרקעין בשל מתן הקלה</w:t>
            </w:r>
            <w:r>
              <w:rPr>
                <w:rFonts w:hint="cs"/>
                <w:rtl/>
              </w:rPr>
              <w:t xml:space="preserve"> </w:t>
            </w:r>
            <w:r>
              <w:rPr>
                <w:rtl/>
              </w:rPr>
              <w:t>כאמור בסעיף קטן זה, למעט השבחה בשל התרת שינוי השימוש בשטח מרתף או</w:t>
            </w:r>
            <w:r>
              <w:rPr>
                <w:rFonts w:hint="cs"/>
                <w:rtl/>
              </w:rPr>
              <w:t xml:space="preserve"> </w:t>
            </w:r>
            <w:r>
              <w:rPr>
                <w:rtl/>
              </w:rPr>
              <w:t xml:space="preserve">מחסן כאמור בפסקה </w:t>
            </w:r>
            <w:r>
              <w:rPr>
                <w:rFonts w:hint="cs"/>
                <w:rtl/>
              </w:rPr>
              <w:t>(</w:t>
            </w:r>
            <w:r>
              <w:rPr>
                <w:rtl/>
              </w:rPr>
              <w:t>8</w:t>
            </w:r>
            <w:r>
              <w:rPr>
                <w:rFonts w:hint="cs"/>
                <w:rtl/>
              </w:rPr>
              <w:t>) או השבחה בשל תוספת שטחי בניה לפי פסקה (1)(</w:t>
            </w:r>
            <w:r w:rsidR="00610A3C">
              <w:rPr>
                <w:rFonts w:hint="cs"/>
                <w:rtl/>
              </w:rPr>
              <w:t>ד</w:t>
            </w:r>
            <w:r>
              <w:rPr>
                <w:rFonts w:hint="cs"/>
                <w:rtl/>
              </w:rPr>
              <w:t>)</w:t>
            </w:r>
            <w:r>
              <w:rPr>
                <w:rtl/>
              </w:rPr>
              <w:t>, תחול חובת תשלום היטל השבחה בשיעור של שלושים</w:t>
            </w:r>
            <w:r>
              <w:rPr>
                <w:rFonts w:hint="cs"/>
                <w:rtl/>
              </w:rPr>
              <w:t xml:space="preserve"> </w:t>
            </w:r>
            <w:r>
              <w:rPr>
                <w:rtl/>
              </w:rPr>
              <w:t xml:space="preserve">וארבעה אחוזים מההשבחה </w:t>
            </w:r>
            <w:r>
              <w:rPr>
                <w:rFonts w:hint="cs"/>
                <w:rtl/>
              </w:rPr>
              <w:t>(</w:t>
            </w:r>
            <w:r>
              <w:rPr>
                <w:rtl/>
              </w:rPr>
              <w:t>בפסקה זו - היטל מופחת</w:t>
            </w:r>
            <w:r>
              <w:rPr>
                <w:rFonts w:hint="cs"/>
                <w:rtl/>
              </w:rPr>
              <w:t>)</w:t>
            </w:r>
            <w:r>
              <w:rPr>
                <w:rtl/>
              </w:rPr>
              <w:t>; מחצית ההיטל המופחת</w:t>
            </w:r>
            <w:r>
              <w:rPr>
                <w:rFonts w:hint="cs"/>
                <w:rtl/>
              </w:rPr>
              <w:t xml:space="preserve"> </w:t>
            </w:r>
            <w:r>
              <w:rPr>
                <w:rtl/>
              </w:rPr>
              <w:t>תשולם בעת קבלת ההיתר שלא היה ניתן לתתו אלמלא מתן ההקלה ויתרת</w:t>
            </w:r>
            <w:r>
              <w:rPr>
                <w:rFonts w:hint="cs"/>
                <w:rtl/>
              </w:rPr>
              <w:t xml:space="preserve"> </w:t>
            </w:r>
            <w:r>
              <w:rPr>
                <w:rtl/>
              </w:rPr>
              <w:t xml:space="preserve">ההיטל המופחת תשולם בעת מימוש זכויות במקרקעין כמשמעותו בפסקה </w:t>
            </w:r>
            <w:r>
              <w:rPr>
                <w:rFonts w:hint="cs"/>
                <w:rtl/>
              </w:rPr>
              <w:t>(</w:t>
            </w:r>
            <w:r>
              <w:rPr>
                <w:rtl/>
              </w:rPr>
              <w:t>3</w:t>
            </w:r>
            <w:r>
              <w:rPr>
                <w:rFonts w:hint="cs"/>
                <w:rtl/>
              </w:rPr>
              <w:t xml:space="preserve">) </w:t>
            </w:r>
            <w:r>
              <w:rPr>
                <w:rtl/>
              </w:rPr>
              <w:t>להגדרה "מימוש זכויות" שבתוספת השלישית, לאחר מתן ההקלה.</w:t>
            </w:r>
            <w:r>
              <w:rPr>
                <w:rFonts w:hint="cs"/>
                <w:rtl/>
              </w:rPr>
              <w:t xml:space="preserve"> </w:t>
            </w:r>
          </w:p>
        </w:tc>
      </w:tr>
      <w:tr w:rsidR="003177AD" w:rsidTr="00EB54E1">
        <w:trPr>
          <w:cantSplit/>
          <w:trHeight w:val="60"/>
        </w:trPr>
        <w:tc>
          <w:tcPr>
            <w:tcW w:w="1871" w:type="dxa"/>
            <w:tcBorders>
              <w:top w:val="nil"/>
              <w:left w:val="nil"/>
              <w:bottom w:val="nil"/>
              <w:right w:val="nil"/>
            </w:tcBorders>
          </w:tcPr>
          <w:p w:rsidR="003177AD" w:rsidRDefault="003177AD" w:rsidP="002311A7">
            <w:pPr>
              <w:pStyle w:val="TableSideHeading"/>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numPr>
                <w:ilvl w:val="0"/>
                <w:numId w:val="14"/>
              </w:numPr>
            </w:pPr>
          </w:p>
        </w:tc>
        <w:tc>
          <w:tcPr>
            <w:tcW w:w="5898" w:type="dxa"/>
            <w:gridSpan w:val="2"/>
            <w:tcBorders>
              <w:top w:val="nil"/>
              <w:left w:val="nil"/>
              <w:bottom w:val="nil"/>
              <w:right w:val="nil"/>
            </w:tcBorders>
          </w:tcPr>
          <w:p w:rsidR="003177AD" w:rsidRDefault="003177AD" w:rsidP="003177AD">
            <w:pPr>
              <w:pStyle w:val="TableBlock"/>
              <w:spacing w:before="240"/>
              <w:rPr>
                <w:rtl/>
              </w:rPr>
            </w:pPr>
            <w:r>
              <w:rPr>
                <w:rtl/>
              </w:rPr>
              <w:t>על אף האמור בכל דין, היתה הדירה שלגביה מתבקשת ההקלה במקרקעי</w:t>
            </w:r>
            <w:r>
              <w:rPr>
                <w:rFonts w:hint="cs"/>
                <w:rtl/>
              </w:rPr>
              <w:t xml:space="preserve"> </w:t>
            </w:r>
            <w:r>
              <w:rPr>
                <w:rtl/>
              </w:rPr>
              <w:t>ישראל, לא תידרש הסכמת רשות מקרקעי ישראל למתן ההקלה לפי סעיף קטן</w:t>
            </w:r>
            <w:r>
              <w:rPr>
                <w:rFonts w:hint="cs"/>
                <w:rtl/>
              </w:rPr>
              <w:t xml:space="preserve"> </w:t>
            </w:r>
            <w:r>
              <w:rPr>
                <w:rtl/>
              </w:rPr>
              <w:t>זה, ולא ייגבה על ידי רשות מקרקעי ישראל כל תשלום בשל מתן ההקלה כאמור</w:t>
            </w:r>
            <w:r>
              <w:rPr>
                <w:rFonts w:hint="cs"/>
                <w:rtl/>
              </w:rPr>
              <w:t>.</w:t>
            </w:r>
          </w:p>
        </w:tc>
      </w:tr>
      <w:tr w:rsidR="003177AD" w:rsidTr="00EB54E1">
        <w:trPr>
          <w:cantSplit/>
          <w:trHeight w:val="60"/>
        </w:trPr>
        <w:tc>
          <w:tcPr>
            <w:tcW w:w="1871" w:type="dxa"/>
            <w:tcBorders>
              <w:top w:val="nil"/>
              <w:left w:val="nil"/>
              <w:bottom w:val="nil"/>
              <w:right w:val="nil"/>
            </w:tcBorders>
          </w:tcPr>
          <w:p w:rsidR="003177AD" w:rsidRDefault="003177AD" w:rsidP="002311A7">
            <w:pPr>
              <w:pStyle w:val="TableSideHeading"/>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numPr>
                <w:ilvl w:val="0"/>
                <w:numId w:val="14"/>
              </w:numPr>
            </w:pPr>
          </w:p>
        </w:tc>
        <w:tc>
          <w:tcPr>
            <w:tcW w:w="5898" w:type="dxa"/>
            <w:gridSpan w:val="2"/>
            <w:tcBorders>
              <w:top w:val="nil"/>
              <w:left w:val="nil"/>
              <w:bottom w:val="nil"/>
              <w:right w:val="nil"/>
            </w:tcBorders>
          </w:tcPr>
          <w:p w:rsidR="003177AD" w:rsidRDefault="003177AD" w:rsidP="003177AD">
            <w:pPr>
              <w:pStyle w:val="TableBlock"/>
              <w:spacing w:before="240"/>
              <w:rPr>
                <w:rtl/>
              </w:rPr>
            </w:pPr>
            <w:r>
              <w:rPr>
                <w:rtl/>
              </w:rPr>
              <w:t>על אף האמור בכל דין, רשות מוסמכת לא תתנה מתן הקלה כאמור בסעיף</w:t>
            </w:r>
            <w:r>
              <w:rPr>
                <w:rFonts w:hint="cs"/>
                <w:rtl/>
              </w:rPr>
              <w:t xml:space="preserve"> </w:t>
            </w:r>
            <w:r>
              <w:rPr>
                <w:rtl/>
              </w:rPr>
              <w:t>קטן זה בהקמת מקלט, לרבות מרחב מוגן בדירת המגורים שתיווסף בשל ההקלה,</w:t>
            </w:r>
            <w:r>
              <w:rPr>
                <w:rFonts w:hint="cs"/>
                <w:rtl/>
              </w:rPr>
              <w:t xml:space="preserve"> </w:t>
            </w:r>
            <w:r>
              <w:rPr>
                <w:rtl/>
              </w:rPr>
              <w:t>ואולם אם קיים מרחב מוגן בדירה הקיימת ערב מתן ההקלה, רשאית הרשות</w:t>
            </w:r>
            <w:r>
              <w:rPr>
                <w:rFonts w:hint="cs"/>
                <w:rtl/>
              </w:rPr>
              <w:t xml:space="preserve"> </w:t>
            </w:r>
            <w:r>
              <w:rPr>
                <w:rtl/>
              </w:rPr>
              <w:t>המוסמכת להתנות את מתן ההקלה בבניית שיפורי מיגון באחד מחדרי דירת</w:t>
            </w:r>
            <w:r>
              <w:rPr>
                <w:rFonts w:hint="cs"/>
                <w:rtl/>
              </w:rPr>
              <w:t xml:space="preserve"> </w:t>
            </w:r>
            <w:r>
              <w:rPr>
                <w:rtl/>
              </w:rPr>
              <w:t>המגורים שתיווסף; בפסקה זו, "מקלט" ו"רשות מוסמכת" - כהגדרתם בסעיף 11</w:t>
            </w:r>
            <w:r>
              <w:rPr>
                <w:rFonts w:hint="cs"/>
                <w:rtl/>
              </w:rPr>
              <w:t xml:space="preserve"> </w:t>
            </w:r>
            <w:r>
              <w:rPr>
                <w:rtl/>
              </w:rPr>
              <w:t>לחוק ההתגוננות האזרחית, התשי"א</w:t>
            </w:r>
            <w:r>
              <w:rPr>
                <w:rFonts w:hint="cs"/>
                <w:rtl/>
              </w:rPr>
              <w:t>-</w:t>
            </w:r>
            <w:r w:rsidR="00610A3C">
              <w:rPr>
                <w:rStyle w:val="a5"/>
                <w:rtl/>
              </w:rPr>
              <w:footnoteReference w:id="3"/>
            </w:r>
            <w:r>
              <w:rPr>
                <w:rtl/>
              </w:rPr>
              <w:t>1951.</w:t>
            </w:r>
          </w:p>
        </w:tc>
      </w:tr>
      <w:tr w:rsidR="003177AD" w:rsidTr="00EB54E1">
        <w:trPr>
          <w:cantSplit/>
          <w:trHeight w:val="60"/>
        </w:trPr>
        <w:tc>
          <w:tcPr>
            <w:tcW w:w="1871" w:type="dxa"/>
            <w:tcBorders>
              <w:top w:val="nil"/>
              <w:left w:val="nil"/>
              <w:bottom w:val="nil"/>
              <w:right w:val="nil"/>
            </w:tcBorders>
          </w:tcPr>
          <w:p w:rsidR="003177AD" w:rsidRDefault="003177AD" w:rsidP="002311A7">
            <w:pPr>
              <w:pStyle w:val="TableSideHeading"/>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pPr>
          </w:p>
        </w:tc>
        <w:tc>
          <w:tcPr>
            <w:tcW w:w="624" w:type="dxa"/>
            <w:tcBorders>
              <w:top w:val="nil"/>
              <w:left w:val="nil"/>
              <w:bottom w:val="nil"/>
              <w:right w:val="nil"/>
            </w:tcBorders>
          </w:tcPr>
          <w:p w:rsidR="003177AD" w:rsidRDefault="003177AD" w:rsidP="002311A7">
            <w:pPr>
              <w:pStyle w:val="TableText"/>
              <w:numPr>
                <w:ilvl w:val="0"/>
                <w:numId w:val="14"/>
              </w:numPr>
            </w:pPr>
          </w:p>
        </w:tc>
        <w:tc>
          <w:tcPr>
            <w:tcW w:w="5898" w:type="dxa"/>
            <w:gridSpan w:val="2"/>
            <w:tcBorders>
              <w:top w:val="nil"/>
              <w:left w:val="nil"/>
              <w:bottom w:val="nil"/>
              <w:right w:val="nil"/>
            </w:tcBorders>
          </w:tcPr>
          <w:p w:rsidR="00A964C9" w:rsidRDefault="00A964C9" w:rsidP="00A964C9">
            <w:pPr>
              <w:pStyle w:val="TableBlock"/>
              <w:spacing w:before="240"/>
              <w:rPr>
                <w:rtl/>
              </w:rPr>
            </w:pPr>
            <w:r>
              <w:rPr>
                <w:rtl/>
              </w:rPr>
              <w:t>בסעיף קטן זה -</w:t>
            </w:r>
          </w:p>
          <w:p w:rsidR="00A964C9" w:rsidRDefault="00A964C9" w:rsidP="00A964C9">
            <w:pPr>
              <w:pStyle w:val="TableBlock"/>
              <w:spacing w:before="240"/>
              <w:rPr>
                <w:rtl/>
              </w:rPr>
            </w:pPr>
            <w:r>
              <w:rPr>
                <w:rtl/>
              </w:rPr>
              <w:t>"דירה צמודת קרקע" - דירה על מגרש שלפי ייעודו מיועד לבניית ארבע דירות</w:t>
            </w:r>
            <w:r>
              <w:rPr>
                <w:rFonts w:hint="cs"/>
                <w:rtl/>
              </w:rPr>
              <w:t xml:space="preserve"> </w:t>
            </w:r>
            <w:r>
              <w:rPr>
                <w:rtl/>
              </w:rPr>
              <w:t>לדונם לכל היותר, ואשר מעליה או מתחתיה אין דירה נוספת;</w:t>
            </w:r>
          </w:p>
          <w:p w:rsidR="00A964C9" w:rsidRDefault="00A964C9" w:rsidP="00A964C9">
            <w:pPr>
              <w:pStyle w:val="TableBlock"/>
              <w:spacing w:before="240"/>
              <w:rPr>
                <w:rtl/>
              </w:rPr>
            </w:pPr>
            <w:r>
              <w:rPr>
                <w:rtl/>
              </w:rPr>
              <w:t>"דירת מגורים" - מערכת חדרים או תאים שנועדה לשמש יחידה שלמה ונפרדת</w:t>
            </w:r>
            <w:r>
              <w:rPr>
                <w:rFonts w:hint="cs"/>
                <w:rtl/>
              </w:rPr>
              <w:t xml:space="preserve"> </w:t>
            </w:r>
            <w:r>
              <w:rPr>
                <w:rtl/>
              </w:rPr>
              <w:t>למגורים בלבד;</w:t>
            </w:r>
          </w:p>
          <w:p w:rsidR="003177AD" w:rsidRPr="00A964C9" w:rsidRDefault="00A964C9" w:rsidP="00A964C9">
            <w:pPr>
              <w:pStyle w:val="TableBlock"/>
              <w:spacing w:before="240"/>
              <w:rPr>
                <w:rtl/>
              </w:rPr>
            </w:pPr>
            <w:r>
              <w:rPr>
                <w:rtl/>
              </w:rPr>
              <w:t>"שטח דירת מגורים" - השטח הכולל המותר לבנייה של דירת מגורים, לרבות</w:t>
            </w:r>
            <w:r>
              <w:rPr>
                <w:rFonts w:hint="cs"/>
                <w:rtl/>
              </w:rPr>
              <w:t xml:space="preserve"> </w:t>
            </w:r>
            <w:r>
              <w:rPr>
                <w:rtl/>
              </w:rPr>
              <w:t>שטחו של מרחב מוגן."</w:t>
            </w:r>
            <w:r w:rsidR="00E30D75">
              <w:rPr>
                <w:rFonts w:hint="cs"/>
                <w:rtl/>
              </w:rPr>
              <w:t>.</w:t>
            </w:r>
          </w:p>
        </w:tc>
      </w:tr>
      <w:tr w:rsidR="00206093" w:rsidTr="00EB54E1">
        <w:trPr>
          <w:cantSplit/>
          <w:trHeight w:val="60"/>
        </w:trPr>
        <w:tc>
          <w:tcPr>
            <w:tcW w:w="1871" w:type="dxa"/>
            <w:vMerge w:val="restart"/>
            <w:tcBorders>
              <w:top w:val="nil"/>
              <w:left w:val="nil"/>
              <w:bottom w:val="nil"/>
              <w:right w:val="nil"/>
            </w:tcBorders>
          </w:tcPr>
          <w:p w:rsidR="00206093" w:rsidRDefault="00206093" w:rsidP="00206093">
            <w:pPr>
              <w:pStyle w:val="TableSideHeading"/>
              <w:rPr>
                <w:rtl/>
              </w:rPr>
            </w:pPr>
            <w:bookmarkStart w:id="35" w:name="_Toc128074543"/>
            <w:r>
              <w:rPr>
                <w:rFonts w:hint="cs"/>
                <w:rtl/>
              </w:rPr>
              <w:t>דיווח לשר ולכנסת</w:t>
            </w:r>
            <w:bookmarkEnd w:id="35"/>
          </w:p>
        </w:tc>
        <w:tc>
          <w:tcPr>
            <w:tcW w:w="624" w:type="dxa"/>
            <w:vMerge w:val="restart"/>
            <w:tcBorders>
              <w:top w:val="nil"/>
              <w:left w:val="nil"/>
              <w:bottom w:val="nil"/>
              <w:right w:val="nil"/>
            </w:tcBorders>
          </w:tcPr>
          <w:p w:rsidR="00206093" w:rsidRDefault="00206093" w:rsidP="00206093">
            <w:pPr>
              <w:pStyle w:val="TableText"/>
              <w:numPr>
                <w:ilvl w:val="0"/>
                <w:numId w:val="11"/>
              </w:numPr>
            </w:pPr>
          </w:p>
        </w:tc>
        <w:tc>
          <w:tcPr>
            <w:tcW w:w="624" w:type="dxa"/>
            <w:tcBorders>
              <w:top w:val="nil"/>
              <w:left w:val="nil"/>
              <w:bottom w:val="nil"/>
              <w:right w:val="nil"/>
            </w:tcBorders>
          </w:tcPr>
          <w:p w:rsidR="00206093" w:rsidRDefault="00206093" w:rsidP="000E0FF2">
            <w:pPr>
              <w:pStyle w:val="TableText"/>
              <w:numPr>
                <w:ilvl w:val="0"/>
                <w:numId w:val="36"/>
              </w:numPr>
              <w:tabs>
                <w:tab w:val="left" w:pos="624"/>
              </w:tabs>
              <w:jc w:val="both"/>
            </w:pPr>
          </w:p>
        </w:tc>
        <w:tc>
          <w:tcPr>
            <w:tcW w:w="6522" w:type="dxa"/>
            <w:gridSpan w:val="3"/>
            <w:tcBorders>
              <w:top w:val="nil"/>
              <w:left w:val="nil"/>
              <w:bottom w:val="nil"/>
              <w:right w:val="nil"/>
            </w:tcBorders>
          </w:tcPr>
          <w:p w:rsidR="00206093" w:rsidRDefault="00206093" w:rsidP="00EB54E1">
            <w:pPr>
              <w:pStyle w:val="TableBlock"/>
              <w:spacing w:before="240"/>
              <w:rPr>
                <w:rtl/>
              </w:rPr>
            </w:pPr>
            <w:r>
              <w:rPr>
                <w:rtl/>
              </w:rPr>
              <w:t xml:space="preserve">ועדה מקומית שהוראת </w:t>
            </w:r>
            <w:r w:rsidR="00E30D75">
              <w:rPr>
                <w:rFonts w:hint="cs"/>
                <w:rtl/>
              </w:rPr>
              <w:t>השעה</w:t>
            </w:r>
            <w:r>
              <w:rPr>
                <w:rtl/>
              </w:rPr>
              <w:t xml:space="preserve"> חלות על מרחב התכנון שלה, תדווח לשר </w:t>
            </w:r>
            <w:r w:rsidR="00F27EF4">
              <w:rPr>
                <w:rFonts w:hint="cs"/>
                <w:rtl/>
              </w:rPr>
              <w:t>הפנים</w:t>
            </w:r>
            <w:r>
              <w:rPr>
                <w:rtl/>
              </w:rPr>
              <w:t>,</w:t>
            </w:r>
            <w:r>
              <w:rPr>
                <w:rFonts w:hint="cs"/>
                <w:rtl/>
              </w:rPr>
              <w:t xml:space="preserve"> </w:t>
            </w:r>
            <w:r>
              <w:rPr>
                <w:rtl/>
              </w:rPr>
              <w:t>לפי דרישתו, על יישומ</w:t>
            </w:r>
            <w:r w:rsidR="00E30D75">
              <w:rPr>
                <w:rFonts w:hint="cs"/>
                <w:rtl/>
              </w:rPr>
              <w:t>ה</w:t>
            </w:r>
            <w:r>
              <w:rPr>
                <w:rtl/>
              </w:rPr>
              <w:t xml:space="preserve"> של </w:t>
            </w:r>
            <w:r w:rsidR="00E30D75">
              <w:rPr>
                <w:rFonts w:hint="cs"/>
                <w:rtl/>
              </w:rPr>
              <w:t>הוראת השעה</w:t>
            </w:r>
            <w:r>
              <w:rPr>
                <w:rtl/>
              </w:rPr>
              <w:t>, ובכלל זה על מספר בקשות ההקלה שהוגשו לה</w:t>
            </w:r>
            <w:r>
              <w:rPr>
                <w:rFonts w:hint="cs"/>
                <w:rtl/>
              </w:rPr>
              <w:t xml:space="preserve"> </w:t>
            </w:r>
            <w:r>
              <w:rPr>
                <w:rtl/>
              </w:rPr>
              <w:t>לפי הורא</w:t>
            </w:r>
            <w:r w:rsidR="00E30D75">
              <w:rPr>
                <w:rFonts w:hint="cs"/>
                <w:rtl/>
              </w:rPr>
              <w:t>ת השעה</w:t>
            </w:r>
            <w:r>
              <w:rPr>
                <w:rtl/>
              </w:rPr>
              <w:t xml:space="preserve"> ומספר הבקשות כאמור שאושרו.</w:t>
            </w:r>
          </w:p>
        </w:tc>
      </w:tr>
      <w:tr w:rsidR="00D301D7" w:rsidTr="00EB54E1">
        <w:trPr>
          <w:cantSplit/>
          <w:trHeight w:val="60"/>
        </w:trPr>
        <w:tc>
          <w:tcPr>
            <w:tcW w:w="1871" w:type="dxa"/>
            <w:vMerge/>
            <w:tcBorders>
              <w:top w:val="nil"/>
              <w:left w:val="nil"/>
              <w:bottom w:val="nil"/>
              <w:right w:val="nil"/>
            </w:tcBorders>
          </w:tcPr>
          <w:p w:rsidR="00D301D7" w:rsidRDefault="00D301D7" w:rsidP="00206093">
            <w:pPr>
              <w:pStyle w:val="TableSideHeading"/>
              <w:rPr>
                <w:rtl/>
              </w:rPr>
            </w:pPr>
          </w:p>
        </w:tc>
        <w:tc>
          <w:tcPr>
            <w:tcW w:w="624" w:type="dxa"/>
            <w:vMerge/>
            <w:tcBorders>
              <w:top w:val="nil"/>
              <w:left w:val="nil"/>
              <w:bottom w:val="nil"/>
              <w:right w:val="nil"/>
            </w:tcBorders>
          </w:tcPr>
          <w:p w:rsidR="00D301D7" w:rsidRDefault="00D301D7" w:rsidP="00206093">
            <w:pPr>
              <w:pStyle w:val="TableText"/>
              <w:numPr>
                <w:ilvl w:val="0"/>
                <w:numId w:val="11"/>
              </w:numPr>
            </w:pPr>
          </w:p>
        </w:tc>
        <w:tc>
          <w:tcPr>
            <w:tcW w:w="624" w:type="dxa"/>
            <w:tcBorders>
              <w:top w:val="nil"/>
              <w:left w:val="nil"/>
              <w:bottom w:val="nil"/>
              <w:right w:val="nil"/>
            </w:tcBorders>
          </w:tcPr>
          <w:p w:rsidR="00D301D7" w:rsidDel="00D301D7" w:rsidRDefault="00D301D7" w:rsidP="00D301D7">
            <w:pPr>
              <w:pStyle w:val="TableText"/>
              <w:numPr>
                <w:ilvl w:val="0"/>
                <w:numId w:val="36"/>
              </w:numPr>
              <w:tabs>
                <w:tab w:val="left" w:pos="624"/>
              </w:tabs>
              <w:jc w:val="both"/>
              <w:rPr>
                <w:rtl/>
              </w:rPr>
            </w:pPr>
          </w:p>
        </w:tc>
        <w:tc>
          <w:tcPr>
            <w:tcW w:w="6522" w:type="dxa"/>
            <w:gridSpan w:val="3"/>
            <w:tcBorders>
              <w:top w:val="nil"/>
              <w:left w:val="nil"/>
              <w:bottom w:val="nil"/>
              <w:right w:val="nil"/>
            </w:tcBorders>
          </w:tcPr>
          <w:p w:rsidR="00D301D7" w:rsidRDefault="00D301D7" w:rsidP="000E0FF2">
            <w:pPr>
              <w:pStyle w:val="TableBlock"/>
              <w:spacing w:before="240"/>
              <w:rPr>
                <w:rtl/>
              </w:rPr>
            </w:pPr>
            <w:r>
              <w:rPr>
                <w:rtl/>
              </w:rPr>
              <w:t xml:space="preserve">שר </w:t>
            </w:r>
            <w:r w:rsidR="00F27EF4">
              <w:rPr>
                <w:rFonts w:hint="cs"/>
                <w:rtl/>
              </w:rPr>
              <w:t>הפנים</w:t>
            </w:r>
            <w:r>
              <w:rPr>
                <w:rtl/>
              </w:rPr>
              <w:t xml:space="preserve"> ידווח לוועדת הפנים והגנת הסביבה של הכנסת, מדי שנה החל ביום</w:t>
            </w:r>
            <w:r>
              <w:rPr>
                <w:rFonts w:hint="cs"/>
                <w:rtl/>
              </w:rPr>
              <w:t xml:space="preserve"> </w:t>
            </w:r>
            <w:r w:rsidR="00E30D75">
              <w:rPr>
                <w:rFonts w:hint="cs"/>
                <w:rtl/>
              </w:rPr>
              <w:t>תחילתה של הוראת השעה</w:t>
            </w:r>
            <w:r>
              <w:rPr>
                <w:rtl/>
              </w:rPr>
              <w:t>, על יישום הורא</w:t>
            </w:r>
            <w:r w:rsidR="00E30D75">
              <w:rPr>
                <w:rFonts w:hint="cs"/>
                <w:rtl/>
              </w:rPr>
              <w:t>ת השעה</w:t>
            </w:r>
            <w:r>
              <w:rPr>
                <w:rtl/>
              </w:rPr>
              <w:t>, ובכלל זה על מספר בקשות ההקלה</w:t>
            </w:r>
            <w:r>
              <w:rPr>
                <w:rFonts w:hint="cs"/>
                <w:rtl/>
              </w:rPr>
              <w:t xml:space="preserve"> </w:t>
            </w:r>
            <w:r>
              <w:rPr>
                <w:rtl/>
              </w:rPr>
              <w:t>שהוגשו לכל ועדה מקומית בשנה שקדמה לדיווח ומספר הבקשות כאמור שאושרו</w:t>
            </w:r>
            <w:r>
              <w:rPr>
                <w:rFonts w:hint="cs"/>
                <w:rtl/>
              </w:rPr>
              <w:t xml:space="preserve"> </w:t>
            </w:r>
            <w:r>
              <w:rPr>
                <w:rtl/>
              </w:rPr>
              <w:t>באותה שנה.</w:t>
            </w:r>
          </w:p>
        </w:tc>
      </w:tr>
    </w:tbl>
    <w:p w:rsidR="008E14DD" w:rsidRDefault="008E14DD" w:rsidP="0030068D">
      <w:pPr>
        <w:pStyle w:val="HeadDivreiHesber"/>
        <w:rPr>
          <w:rtl/>
        </w:rPr>
      </w:pPr>
      <w:bookmarkStart w:id="36" w:name="_Toc54797450"/>
      <w:bookmarkStart w:id="37" w:name="_Toc55411354"/>
      <w:bookmarkStart w:id="38" w:name="_Toc57284492"/>
      <w:bookmarkStart w:id="39" w:name="_Toc57285012"/>
      <w:bookmarkStart w:id="40" w:name="_Toc57285334"/>
      <w:bookmarkStart w:id="41" w:name="_Toc57539268"/>
      <w:bookmarkStart w:id="42" w:name="_Toc57541981"/>
      <w:bookmarkStart w:id="43" w:name="_Toc91062304"/>
    </w:p>
    <w:p w:rsidR="008E14DD" w:rsidRDefault="008E14DD" w:rsidP="0030068D">
      <w:pPr>
        <w:pStyle w:val="HeadDivreiHesber"/>
        <w:rPr>
          <w:rtl/>
        </w:rPr>
      </w:pPr>
    </w:p>
    <w:p w:rsidR="00E30D75" w:rsidRDefault="00E30D75" w:rsidP="0030068D">
      <w:pPr>
        <w:pStyle w:val="HeadDivreiHesber"/>
        <w:rPr>
          <w:rtl/>
        </w:rPr>
      </w:pPr>
    </w:p>
    <w:p w:rsidR="00E30D75" w:rsidRDefault="00E30D75" w:rsidP="0030068D">
      <w:pPr>
        <w:pStyle w:val="HeadDivreiHesber"/>
        <w:rPr>
          <w:rtl/>
        </w:rPr>
      </w:pPr>
    </w:p>
    <w:p w:rsidR="00E30D75" w:rsidRDefault="00E30D75" w:rsidP="0030068D">
      <w:pPr>
        <w:pStyle w:val="HeadDivreiHesber"/>
        <w:rPr>
          <w:rtl/>
        </w:rPr>
      </w:pPr>
    </w:p>
    <w:p w:rsidR="009B7CFA" w:rsidRPr="0030068D" w:rsidRDefault="009B7CFA" w:rsidP="0030068D">
      <w:pPr>
        <w:pStyle w:val="HeadDivreiHesber"/>
        <w:rPr>
          <w:rtl/>
        </w:rPr>
      </w:pPr>
      <w:bookmarkStart w:id="44" w:name="_Toc128074544"/>
      <w:r w:rsidRPr="0030068D">
        <w:rPr>
          <w:rFonts w:hint="cs"/>
          <w:rtl/>
        </w:rPr>
        <w:t>דברי הסבר</w:t>
      </w:r>
      <w:bookmarkEnd w:id="36"/>
      <w:bookmarkEnd w:id="37"/>
      <w:bookmarkEnd w:id="38"/>
      <w:bookmarkEnd w:id="39"/>
      <w:bookmarkEnd w:id="40"/>
      <w:bookmarkEnd w:id="41"/>
      <w:bookmarkEnd w:id="42"/>
      <w:bookmarkEnd w:id="43"/>
      <w:bookmarkEnd w:id="44"/>
      <w:r w:rsidR="007A785D">
        <w:rPr>
          <w:rFonts w:hint="cs"/>
          <w:rtl/>
        </w:rPr>
        <w:t xml:space="preserve">  </w:t>
      </w:r>
    </w:p>
    <w:p w:rsidR="0095698D" w:rsidRDefault="0095698D" w:rsidP="00D12CDC">
      <w:pPr>
        <w:pStyle w:val="Hesber1st"/>
        <w:tabs>
          <w:tab w:val="clear" w:pos="680"/>
        </w:tabs>
        <w:rPr>
          <w:rtl/>
        </w:rPr>
      </w:pPr>
    </w:p>
    <w:p w:rsidR="00D12CDC" w:rsidRDefault="00D12CDC" w:rsidP="00D12CDC">
      <w:pPr>
        <w:pStyle w:val="Hesber1st"/>
        <w:tabs>
          <w:tab w:val="clear" w:pos="680"/>
        </w:tabs>
        <w:rPr>
          <w:rtl/>
        </w:rPr>
      </w:pPr>
    </w:p>
    <w:p w:rsidR="00244D91" w:rsidRPr="00EB54E1" w:rsidRDefault="00244D91" w:rsidP="00F244D9">
      <w:pPr>
        <w:pStyle w:val="Hesber1st"/>
        <w:tabs>
          <w:tab w:val="clear" w:pos="680"/>
        </w:tabs>
        <w:rPr>
          <w:b/>
          <w:bCs/>
          <w:rtl/>
        </w:rPr>
      </w:pPr>
      <w:r w:rsidRPr="00EB54E1">
        <w:rPr>
          <w:rFonts w:hint="eastAsia"/>
          <w:b/>
          <w:bCs/>
          <w:rtl/>
        </w:rPr>
        <w:t>כללי</w:t>
      </w:r>
    </w:p>
    <w:p w:rsidR="00B348B4" w:rsidRPr="00287C7A" w:rsidRDefault="00B348B4" w:rsidP="00454B35">
      <w:pPr>
        <w:pStyle w:val="Hesber1st"/>
        <w:tabs>
          <w:tab w:val="clear" w:pos="680"/>
        </w:tabs>
        <w:rPr>
          <w:rtl/>
        </w:rPr>
      </w:pPr>
      <w:r w:rsidRPr="00287C7A">
        <w:rPr>
          <w:rFonts w:hint="eastAsia"/>
          <w:rtl/>
        </w:rPr>
        <w:t>משבר</w:t>
      </w:r>
      <w:r w:rsidRPr="00287C7A">
        <w:rPr>
          <w:rtl/>
        </w:rPr>
        <w:t xml:space="preserve"> הדיור בישראל נובע בחלקו בשל קשיחות צד ההיצע, ובהתאם לכך מאמצי הממשלה ממוקדים בפתרונות שונים להגדלת ההיצע, הן בטווח הקצר והן בטווח הארוך. </w:t>
      </w:r>
      <w:r w:rsidRPr="00287C7A">
        <w:rPr>
          <w:rFonts w:hint="eastAsia"/>
          <w:rtl/>
        </w:rPr>
        <w:t>הגדלת</w:t>
      </w:r>
      <w:r w:rsidRPr="00287C7A">
        <w:rPr>
          <w:rtl/>
        </w:rPr>
        <w:t xml:space="preserve"> </w:t>
      </w:r>
      <w:r w:rsidRPr="00287C7A">
        <w:rPr>
          <w:rFonts w:hint="eastAsia"/>
          <w:rtl/>
        </w:rPr>
        <w:t>ההיצע</w:t>
      </w:r>
      <w:r w:rsidRPr="00287C7A">
        <w:rPr>
          <w:rtl/>
        </w:rPr>
        <w:t xml:space="preserve"> </w:t>
      </w:r>
      <w:r w:rsidRPr="00287C7A">
        <w:rPr>
          <w:rFonts w:hint="eastAsia"/>
          <w:rtl/>
        </w:rPr>
        <w:t>במתחמי</w:t>
      </w:r>
      <w:r w:rsidRPr="00287C7A">
        <w:rPr>
          <w:rtl/>
        </w:rPr>
        <w:t xml:space="preserve"> </w:t>
      </w:r>
      <w:r w:rsidRPr="00287C7A">
        <w:rPr>
          <w:rFonts w:hint="eastAsia"/>
          <w:rtl/>
        </w:rPr>
        <w:t>בניה</w:t>
      </w:r>
      <w:r w:rsidRPr="00287C7A">
        <w:rPr>
          <w:rtl/>
        </w:rPr>
        <w:t xml:space="preserve"> </w:t>
      </w:r>
      <w:r w:rsidRPr="00287C7A">
        <w:rPr>
          <w:rFonts w:hint="eastAsia"/>
          <w:rtl/>
        </w:rPr>
        <w:t>רוויה</w:t>
      </w:r>
      <w:r w:rsidRPr="00287C7A">
        <w:rPr>
          <w:rtl/>
        </w:rPr>
        <w:t xml:space="preserve"> </w:t>
      </w:r>
      <w:r w:rsidRPr="00287C7A">
        <w:rPr>
          <w:rFonts w:hint="eastAsia"/>
          <w:rtl/>
        </w:rPr>
        <w:t>מתרחשת</w:t>
      </w:r>
      <w:r w:rsidRPr="00287C7A">
        <w:rPr>
          <w:rtl/>
        </w:rPr>
        <w:t xml:space="preserve"> </w:t>
      </w:r>
      <w:r w:rsidRPr="00287C7A">
        <w:rPr>
          <w:rFonts w:hint="eastAsia"/>
          <w:rtl/>
        </w:rPr>
        <w:t>באמצעות</w:t>
      </w:r>
      <w:r w:rsidRPr="00287C7A">
        <w:rPr>
          <w:rtl/>
        </w:rPr>
        <w:t xml:space="preserve"> </w:t>
      </w:r>
      <w:r w:rsidRPr="00287C7A">
        <w:rPr>
          <w:rFonts w:hint="eastAsia"/>
          <w:rtl/>
        </w:rPr>
        <w:t>התחדשות</w:t>
      </w:r>
      <w:r w:rsidRPr="00287C7A">
        <w:rPr>
          <w:rtl/>
        </w:rPr>
        <w:t xml:space="preserve"> </w:t>
      </w:r>
      <w:r w:rsidRPr="00287C7A">
        <w:rPr>
          <w:rFonts w:hint="eastAsia"/>
          <w:rtl/>
        </w:rPr>
        <w:t>עירונית–</w:t>
      </w:r>
      <w:r w:rsidRPr="00287C7A">
        <w:rPr>
          <w:rtl/>
        </w:rPr>
        <w:t xml:space="preserve"> תכניות פינוי בינוי </w:t>
      </w:r>
      <w:r w:rsidRPr="00287C7A">
        <w:rPr>
          <w:rFonts w:hint="eastAsia"/>
          <w:rtl/>
        </w:rPr>
        <w:t>ותמ</w:t>
      </w:r>
      <w:r w:rsidRPr="00287C7A">
        <w:rPr>
          <w:rtl/>
        </w:rPr>
        <w:t>"א 38</w:t>
      </w:r>
      <w:r w:rsidR="00AE6CC1" w:rsidRPr="00287C7A">
        <w:rPr>
          <w:rtl/>
        </w:rPr>
        <w:t>.</w:t>
      </w:r>
      <w:r w:rsidRPr="00287C7A">
        <w:rPr>
          <w:rtl/>
        </w:rPr>
        <w:t xml:space="preserve"> מנגנונים אלו של התחדשות עירונית אינם מותאמים למתחמים של בניה </w:t>
      </w:r>
      <w:r w:rsidRPr="00287C7A">
        <w:rPr>
          <w:rFonts w:hint="eastAsia"/>
          <w:rtl/>
        </w:rPr>
        <w:t>צמודת</w:t>
      </w:r>
      <w:r w:rsidRPr="00287C7A">
        <w:rPr>
          <w:rtl/>
        </w:rPr>
        <w:t xml:space="preserve"> קרקע.</w:t>
      </w:r>
    </w:p>
    <w:p w:rsidR="00C453B4" w:rsidRPr="00287C7A" w:rsidRDefault="00B348B4" w:rsidP="000E0FF2">
      <w:pPr>
        <w:pStyle w:val="Hesber1st"/>
        <w:tabs>
          <w:tab w:val="clear" w:pos="680"/>
        </w:tabs>
        <w:rPr>
          <w:rtl/>
        </w:rPr>
      </w:pPr>
      <w:r w:rsidRPr="00287C7A">
        <w:rPr>
          <w:rFonts w:hint="eastAsia"/>
          <w:rtl/>
        </w:rPr>
        <w:t>בשנת</w:t>
      </w:r>
      <w:r w:rsidRPr="00287C7A">
        <w:rPr>
          <w:rtl/>
        </w:rPr>
        <w:t xml:space="preserve"> 2017 </w:t>
      </w:r>
      <w:r w:rsidRPr="00287C7A">
        <w:rPr>
          <w:rFonts w:hint="eastAsia"/>
          <w:rtl/>
        </w:rPr>
        <w:t>תוקן</w:t>
      </w:r>
      <w:r w:rsidRPr="00287C7A">
        <w:rPr>
          <w:rtl/>
        </w:rPr>
        <w:t xml:space="preserve"> </w:t>
      </w:r>
      <w:r w:rsidR="00131CD2" w:rsidRPr="00287C7A">
        <w:rPr>
          <w:rtl/>
        </w:rPr>
        <w:t>סעיף 147(י) לחוק העיקרי (במסגרת תיקון 117 לחוק העיקרי),</w:t>
      </w:r>
      <w:r w:rsidR="00551F47" w:rsidRPr="00287C7A">
        <w:rPr>
          <w:rtl/>
        </w:rPr>
        <w:t xml:space="preserve"> </w:t>
      </w:r>
      <w:r w:rsidRPr="00287C7A">
        <w:rPr>
          <w:rFonts w:hint="eastAsia"/>
          <w:rtl/>
        </w:rPr>
        <w:t>כ</w:t>
      </w:r>
      <w:r w:rsidR="00551F47" w:rsidRPr="00287C7A">
        <w:rPr>
          <w:rtl/>
        </w:rPr>
        <w:t>הוראת שעה</w:t>
      </w:r>
      <w:r w:rsidR="00131CD2" w:rsidRPr="00287C7A">
        <w:rPr>
          <w:rtl/>
        </w:rPr>
        <w:t>, בנוגע להקלה בדרך של פיצול דירה צמודת קרקע קיימת, לדירה נוספת</w:t>
      </w:r>
      <w:r w:rsidR="007F4747" w:rsidRPr="00287C7A">
        <w:rPr>
          <w:rtl/>
        </w:rPr>
        <w:t xml:space="preserve">. הוראה זו </w:t>
      </w:r>
      <w:r w:rsidR="00551F47" w:rsidRPr="00287C7A">
        <w:rPr>
          <w:rFonts w:hint="eastAsia"/>
          <w:rtl/>
        </w:rPr>
        <w:t>פקעה</w:t>
      </w:r>
      <w:r w:rsidR="00551F47" w:rsidRPr="00287C7A">
        <w:rPr>
          <w:rtl/>
        </w:rPr>
        <w:t xml:space="preserve"> </w:t>
      </w:r>
      <w:r w:rsidR="00551F47" w:rsidRPr="00287C7A">
        <w:rPr>
          <w:rFonts w:hint="eastAsia"/>
          <w:rtl/>
        </w:rPr>
        <w:t>ביום</w:t>
      </w:r>
      <w:r w:rsidR="00551F47" w:rsidRPr="00287C7A">
        <w:rPr>
          <w:rtl/>
        </w:rPr>
        <w:t xml:space="preserve">  </w:t>
      </w:r>
      <w:r w:rsidR="00F27EF4">
        <w:rPr>
          <w:rFonts w:hint="cs"/>
          <w:rtl/>
        </w:rPr>
        <w:t>15 בפברואר 2023 ובמסגרתה ניתנו מאות בודדות בלבד של היתרי בניה.</w:t>
      </w:r>
    </w:p>
    <w:p w:rsidR="00551F47" w:rsidRDefault="00B348B4" w:rsidP="000E0FF2">
      <w:pPr>
        <w:pStyle w:val="Hesber1st"/>
        <w:tabs>
          <w:tab w:val="clear" w:pos="680"/>
        </w:tabs>
        <w:rPr>
          <w:rtl/>
        </w:rPr>
      </w:pPr>
      <w:r w:rsidRPr="00287C7A">
        <w:rPr>
          <w:rFonts w:hint="eastAsia"/>
          <w:rtl/>
        </w:rPr>
        <w:t>בכדי</w:t>
      </w:r>
      <w:r w:rsidRPr="00287C7A">
        <w:rPr>
          <w:rtl/>
        </w:rPr>
        <w:t xml:space="preserve"> להגדיל את היצע הדיור בטווח הזמן הקרוב, באמצעות הוספת יחידות דיור במתחמי בניה </w:t>
      </w:r>
      <w:r w:rsidRPr="00287C7A">
        <w:rPr>
          <w:rFonts w:hint="eastAsia"/>
          <w:rtl/>
        </w:rPr>
        <w:t>צמודת</w:t>
      </w:r>
      <w:r w:rsidRPr="00287C7A">
        <w:rPr>
          <w:rtl/>
        </w:rPr>
        <w:t xml:space="preserve"> קרקע,</w:t>
      </w:r>
      <w:r w:rsidR="00BA32B1" w:rsidRPr="00287C7A">
        <w:rPr>
          <w:rtl/>
        </w:rPr>
        <w:t xml:space="preserve"> </w:t>
      </w:r>
      <w:r w:rsidR="00C453B4" w:rsidRPr="00287C7A">
        <w:rPr>
          <w:rFonts w:hint="eastAsia"/>
          <w:rtl/>
        </w:rPr>
        <w:t>מוצע</w:t>
      </w:r>
      <w:r w:rsidR="00C453B4" w:rsidRPr="00287C7A">
        <w:rPr>
          <w:rtl/>
        </w:rPr>
        <w:t xml:space="preserve"> לחדש את הוראות השעה הנזכרת לעיל, </w:t>
      </w:r>
      <w:r w:rsidR="007F4747" w:rsidRPr="000E0FF2">
        <w:rPr>
          <w:rFonts w:hint="eastAsia"/>
          <w:rtl/>
        </w:rPr>
        <w:t>למשך</w:t>
      </w:r>
      <w:r w:rsidR="007F4747" w:rsidRPr="000E0FF2">
        <w:rPr>
          <w:rtl/>
        </w:rPr>
        <w:t xml:space="preserve"> </w:t>
      </w:r>
      <w:r w:rsidR="00551F47" w:rsidRPr="00287C7A">
        <w:rPr>
          <w:rFonts w:hint="eastAsia"/>
          <w:rtl/>
        </w:rPr>
        <w:t>שנתיים</w:t>
      </w:r>
      <w:r w:rsidR="00741367">
        <w:rPr>
          <w:rtl/>
        </w:rPr>
        <w:t>, תוך</w:t>
      </w:r>
      <w:r w:rsidR="00F27EF4">
        <w:rPr>
          <w:rFonts w:hint="cs"/>
          <w:rtl/>
        </w:rPr>
        <w:t xml:space="preserve"> הגדלת התמרי</w:t>
      </w:r>
      <w:r w:rsidR="003F0F2F">
        <w:rPr>
          <w:rFonts w:hint="cs"/>
          <w:rtl/>
        </w:rPr>
        <w:t>ץ</w:t>
      </w:r>
      <w:r w:rsidR="00F27EF4">
        <w:rPr>
          <w:rFonts w:hint="cs"/>
          <w:rtl/>
        </w:rPr>
        <w:t xml:space="preserve"> לשימוש בכלי זה</w:t>
      </w:r>
      <w:r w:rsidR="003F0F2F">
        <w:rPr>
          <w:rFonts w:hint="cs"/>
          <w:rtl/>
        </w:rPr>
        <w:t xml:space="preserve"> על ידי מתן תוספת זכויות בניה עבור תוספת יחידת הדיור </w:t>
      </w:r>
      <w:r w:rsidR="00BA32B1" w:rsidRPr="000E0FF2">
        <w:rPr>
          <w:rFonts w:hint="eastAsia"/>
          <w:rtl/>
        </w:rPr>
        <w:t>ו</w:t>
      </w:r>
      <w:r w:rsidRPr="000E0FF2">
        <w:rPr>
          <w:rFonts w:hint="eastAsia"/>
          <w:rtl/>
        </w:rPr>
        <w:t>זאת</w:t>
      </w:r>
      <w:r w:rsidRPr="000E0FF2">
        <w:rPr>
          <w:rtl/>
        </w:rPr>
        <w:t xml:space="preserve"> </w:t>
      </w:r>
      <w:r w:rsidR="00BA32B1" w:rsidRPr="000E0FF2">
        <w:rPr>
          <w:rFonts w:hint="eastAsia"/>
          <w:rtl/>
        </w:rPr>
        <w:t>בהמשך</w:t>
      </w:r>
      <w:r w:rsidR="00BA32B1" w:rsidRPr="000E0FF2">
        <w:rPr>
          <w:rtl/>
        </w:rPr>
        <w:t xml:space="preserve"> </w:t>
      </w:r>
      <w:r w:rsidR="00BA32B1" w:rsidRPr="000E0FF2">
        <w:rPr>
          <w:rFonts w:hint="eastAsia"/>
          <w:rtl/>
        </w:rPr>
        <w:t>לטיוטת</w:t>
      </w:r>
      <w:r w:rsidR="00BA32B1" w:rsidRPr="000E0FF2">
        <w:rPr>
          <w:rtl/>
        </w:rPr>
        <w:t xml:space="preserve"> </w:t>
      </w:r>
      <w:r w:rsidR="00BA32B1" w:rsidRPr="000E0FF2">
        <w:rPr>
          <w:rFonts w:hint="eastAsia"/>
          <w:rtl/>
        </w:rPr>
        <w:t>החוק</w:t>
      </w:r>
      <w:r w:rsidR="00551F47" w:rsidRPr="00287C7A">
        <w:rPr>
          <w:rtl/>
        </w:rPr>
        <w:t xml:space="preserve"> </w:t>
      </w:r>
      <w:r w:rsidR="00551F47" w:rsidRPr="00287C7A">
        <w:rPr>
          <w:rFonts w:hint="eastAsia"/>
          <w:rtl/>
        </w:rPr>
        <w:t>שאושרה</w:t>
      </w:r>
      <w:r w:rsidR="00551F47" w:rsidRPr="00287C7A">
        <w:rPr>
          <w:rtl/>
        </w:rPr>
        <w:t xml:space="preserve"> </w:t>
      </w:r>
      <w:r w:rsidR="00551F47" w:rsidRPr="00287C7A">
        <w:rPr>
          <w:rFonts w:hint="eastAsia"/>
          <w:rtl/>
        </w:rPr>
        <w:t>בהחלטה</w:t>
      </w:r>
      <w:r w:rsidR="00551F47" w:rsidRPr="00287C7A">
        <w:rPr>
          <w:rtl/>
        </w:rPr>
        <w:t xml:space="preserve"> </w:t>
      </w:r>
      <w:r w:rsidR="00F27EF4">
        <w:rPr>
          <w:rFonts w:hint="cs"/>
          <w:rtl/>
        </w:rPr>
        <w:t>ח</w:t>
      </w:r>
      <w:r w:rsidR="00551F47" w:rsidRPr="00287C7A">
        <w:rPr>
          <w:rFonts w:hint="eastAsia"/>
          <w:rtl/>
        </w:rPr>
        <w:t>ק</w:t>
      </w:r>
      <w:r w:rsidR="00551F47" w:rsidRPr="00287C7A">
        <w:rPr>
          <w:rtl/>
        </w:rPr>
        <w:t xml:space="preserve">/ 812 </w:t>
      </w:r>
      <w:r w:rsidR="00551F47" w:rsidRPr="00287C7A">
        <w:rPr>
          <w:rFonts w:hint="eastAsia"/>
          <w:rtl/>
        </w:rPr>
        <w:t>של</w:t>
      </w:r>
      <w:r w:rsidR="00551F47" w:rsidRPr="00287C7A">
        <w:rPr>
          <w:rtl/>
        </w:rPr>
        <w:t xml:space="preserve"> </w:t>
      </w:r>
      <w:r w:rsidR="00551F47" w:rsidRPr="00287C7A">
        <w:rPr>
          <w:rFonts w:hint="eastAsia"/>
          <w:rtl/>
        </w:rPr>
        <w:t>ועדת</w:t>
      </w:r>
      <w:r w:rsidR="00551F47" w:rsidRPr="00287C7A">
        <w:rPr>
          <w:rtl/>
        </w:rPr>
        <w:t xml:space="preserve"> </w:t>
      </w:r>
      <w:r w:rsidR="00551F47" w:rsidRPr="00287C7A">
        <w:rPr>
          <w:rFonts w:hint="eastAsia"/>
          <w:rtl/>
        </w:rPr>
        <w:t>השרים</w:t>
      </w:r>
      <w:r w:rsidR="00551F47" w:rsidRPr="00287C7A">
        <w:rPr>
          <w:rtl/>
        </w:rPr>
        <w:t xml:space="preserve"> </w:t>
      </w:r>
      <w:r w:rsidR="00551F47" w:rsidRPr="00287C7A">
        <w:rPr>
          <w:rFonts w:hint="eastAsia"/>
          <w:rtl/>
        </w:rPr>
        <w:t>לעניני</w:t>
      </w:r>
      <w:r w:rsidR="00551F47" w:rsidRPr="00287C7A">
        <w:rPr>
          <w:rtl/>
        </w:rPr>
        <w:t xml:space="preserve"> </w:t>
      </w:r>
      <w:r w:rsidR="00551F47" w:rsidRPr="00287C7A">
        <w:rPr>
          <w:rFonts w:hint="eastAsia"/>
          <w:rtl/>
        </w:rPr>
        <w:t>חקיקה</w:t>
      </w:r>
      <w:r w:rsidR="00551F47" w:rsidRPr="00287C7A">
        <w:rPr>
          <w:rtl/>
        </w:rPr>
        <w:t xml:space="preserve"> </w:t>
      </w:r>
      <w:r w:rsidR="00BA32B1" w:rsidRPr="000E0FF2">
        <w:rPr>
          <w:rFonts w:hint="eastAsia"/>
          <w:rtl/>
        </w:rPr>
        <w:t>מיום</w:t>
      </w:r>
      <w:r w:rsidR="00BA32B1" w:rsidRPr="000E0FF2">
        <w:rPr>
          <w:rtl/>
        </w:rPr>
        <w:t xml:space="preserve"> </w:t>
      </w:r>
      <w:r w:rsidR="00551F47" w:rsidRPr="00287C7A">
        <w:rPr>
          <w:rtl/>
        </w:rPr>
        <w:t xml:space="preserve">2 </w:t>
      </w:r>
      <w:r w:rsidR="00551F47" w:rsidRPr="00287C7A">
        <w:rPr>
          <w:rFonts w:hint="eastAsia"/>
          <w:rtl/>
        </w:rPr>
        <w:t>ביוני</w:t>
      </w:r>
      <w:r w:rsidR="00551F47" w:rsidRPr="00287C7A">
        <w:rPr>
          <w:rtl/>
        </w:rPr>
        <w:t xml:space="preserve"> 2022.</w:t>
      </w:r>
    </w:p>
    <w:p w:rsidR="00244D91" w:rsidRPr="00EB54E1" w:rsidRDefault="00244D91" w:rsidP="00F244D9">
      <w:pPr>
        <w:pStyle w:val="Hesber1st"/>
        <w:tabs>
          <w:tab w:val="clear" w:pos="680"/>
        </w:tabs>
        <w:rPr>
          <w:b/>
          <w:bCs/>
          <w:rtl/>
        </w:rPr>
      </w:pPr>
      <w:r w:rsidRPr="00EB54E1">
        <w:rPr>
          <w:rFonts w:hint="eastAsia"/>
          <w:b/>
          <w:bCs/>
          <w:rtl/>
        </w:rPr>
        <w:t>לסעיף</w:t>
      </w:r>
      <w:r w:rsidRPr="00EB54E1">
        <w:rPr>
          <w:b/>
          <w:bCs/>
          <w:rtl/>
        </w:rPr>
        <w:t xml:space="preserve"> 1 – </w:t>
      </w:r>
    </w:p>
    <w:p w:rsidR="00161F8B" w:rsidRDefault="00811D23" w:rsidP="00945EC8">
      <w:pPr>
        <w:pStyle w:val="Hesber1st"/>
        <w:tabs>
          <w:tab w:val="clear" w:pos="680"/>
        </w:tabs>
        <w:rPr>
          <w:rtl/>
        </w:rPr>
      </w:pPr>
      <w:r w:rsidRPr="00EB54E1">
        <w:rPr>
          <w:rFonts w:hint="eastAsia"/>
          <w:b/>
          <w:bCs/>
          <w:rtl/>
        </w:rPr>
        <w:t>לפסקה</w:t>
      </w:r>
      <w:r w:rsidRPr="00EB54E1">
        <w:rPr>
          <w:b/>
          <w:bCs/>
          <w:rtl/>
        </w:rPr>
        <w:t xml:space="preserve"> (י)(1)</w:t>
      </w:r>
      <w:r>
        <w:rPr>
          <w:rtl/>
        </w:rPr>
        <w:tab/>
      </w:r>
    </w:p>
    <w:p w:rsidR="005665EE" w:rsidRDefault="00AE6CC1" w:rsidP="0008006B">
      <w:pPr>
        <w:pStyle w:val="Hesber1st"/>
        <w:tabs>
          <w:tab w:val="clear" w:pos="680"/>
        </w:tabs>
        <w:rPr>
          <w:rtl/>
        </w:rPr>
      </w:pPr>
      <w:r>
        <w:rPr>
          <w:rtl/>
        </w:rPr>
        <w:t>מוצע לקבוע כי, ככלל, ועדה מקומית תהיה חייבת לתת הקלה</w:t>
      </w:r>
      <w:r>
        <w:rPr>
          <w:rFonts w:hint="cs"/>
          <w:rtl/>
        </w:rPr>
        <w:t xml:space="preserve"> </w:t>
      </w:r>
      <w:r>
        <w:rPr>
          <w:rtl/>
        </w:rPr>
        <w:t xml:space="preserve">של תוספת דירות למגורים, בדרך של פיצול </w:t>
      </w:r>
      <w:r w:rsidR="004A3444">
        <w:rPr>
          <w:rFonts w:hint="cs"/>
          <w:rtl/>
        </w:rPr>
        <w:t xml:space="preserve">או הוספת </w:t>
      </w:r>
      <w:r>
        <w:rPr>
          <w:rtl/>
        </w:rPr>
        <w:t>דירה צמודת קרקע לדירה אחת נו</w:t>
      </w:r>
      <w:r w:rsidRPr="00A31915">
        <w:rPr>
          <w:rtl/>
        </w:rPr>
        <w:t>ספת</w:t>
      </w:r>
      <w:r w:rsidR="004A3444" w:rsidRPr="00A31915">
        <w:rPr>
          <w:rtl/>
        </w:rPr>
        <w:t xml:space="preserve"> </w:t>
      </w:r>
      <w:r w:rsidR="0008006B">
        <w:rPr>
          <w:rFonts w:hint="cs"/>
          <w:rtl/>
        </w:rPr>
        <w:t>,</w:t>
      </w:r>
      <w:r w:rsidR="004A3444" w:rsidRPr="000E0FF2">
        <w:rPr>
          <w:rtl/>
        </w:rPr>
        <w:t>תוספת של יח</w:t>
      </w:r>
      <w:r w:rsidR="004A3444" w:rsidRPr="000E0FF2">
        <w:rPr>
          <w:rFonts w:hint="eastAsia"/>
          <w:rtl/>
        </w:rPr>
        <w:t>ידת</w:t>
      </w:r>
      <w:r w:rsidR="004A3444" w:rsidRPr="000E0FF2">
        <w:rPr>
          <w:rtl/>
        </w:rPr>
        <w:t xml:space="preserve"> ד</w:t>
      </w:r>
      <w:r w:rsidR="004A3444" w:rsidRPr="000E0FF2">
        <w:rPr>
          <w:rFonts w:hint="eastAsia"/>
          <w:rtl/>
        </w:rPr>
        <w:t>יור</w:t>
      </w:r>
      <w:r w:rsidR="004A3444" w:rsidRPr="000E0FF2">
        <w:rPr>
          <w:rtl/>
        </w:rPr>
        <w:t xml:space="preserve"> אחת לכל דירה קיימת</w:t>
      </w:r>
      <w:r w:rsidR="0008006B">
        <w:rPr>
          <w:rFonts w:hint="cs"/>
          <w:rtl/>
        </w:rPr>
        <w:t>,</w:t>
      </w:r>
      <w:r w:rsidR="005665EE">
        <w:rPr>
          <w:rFonts w:hint="cs"/>
          <w:rtl/>
        </w:rPr>
        <w:t xml:space="preserve"> ואף </w:t>
      </w:r>
      <w:r w:rsidR="004A3444" w:rsidRPr="000E0FF2">
        <w:rPr>
          <w:rFonts w:hint="eastAsia"/>
          <w:rtl/>
        </w:rPr>
        <w:t>לאפשר</w:t>
      </w:r>
      <w:r w:rsidR="004A3444" w:rsidRPr="000E0FF2">
        <w:rPr>
          <w:rtl/>
        </w:rPr>
        <w:t xml:space="preserve"> לשם כך תוספת </w:t>
      </w:r>
      <w:r w:rsidR="004A3444" w:rsidRPr="000E0FF2">
        <w:rPr>
          <w:rFonts w:hint="eastAsia"/>
          <w:rtl/>
        </w:rPr>
        <w:t>שטחי</w:t>
      </w:r>
      <w:r w:rsidR="004A3444" w:rsidRPr="000E0FF2">
        <w:rPr>
          <w:rtl/>
        </w:rPr>
        <w:t xml:space="preserve"> </w:t>
      </w:r>
      <w:r w:rsidR="004A3444" w:rsidRPr="000E0FF2">
        <w:rPr>
          <w:rFonts w:hint="eastAsia"/>
          <w:rtl/>
        </w:rPr>
        <w:t>בניה</w:t>
      </w:r>
      <w:r w:rsidR="005665EE">
        <w:rPr>
          <w:rFonts w:hint="cs"/>
          <w:rtl/>
        </w:rPr>
        <w:t>.</w:t>
      </w:r>
      <w:r w:rsidR="00161F8B" w:rsidRPr="00161F8B">
        <w:rPr>
          <w:rFonts w:hint="eastAsia"/>
          <w:rtl/>
        </w:rPr>
        <w:t xml:space="preserve"> </w:t>
      </w:r>
      <w:r w:rsidR="005665EE">
        <w:rPr>
          <w:rFonts w:hint="cs"/>
          <w:rtl/>
        </w:rPr>
        <w:t xml:space="preserve">זאת בכפוף להתקיימות תנאים שונים כמפורט </w:t>
      </w:r>
      <w:r w:rsidR="0008006B">
        <w:rPr>
          <w:rFonts w:hint="cs"/>
          <w:rtl/>
        </w:rPr>
        <w:t>בתזכיר החוק</w:t>
      </w:r>
      <w:r w:rsidR="00811D23">
        <w:rPr>
          <w:rFonts w:hint="cs"/>
          <w:rtl/>
        </w:rPr>
        <w:t>.</w:t>
      </w:r>
      <w:r w:rsidR="00161F8B" w:rsidRPr="00161F8B">
        <w:rPr>
          <w:rFonts w:hint="eastAsia"/>
          <w:rtl/>
        </w:rPr>
        <w:t xml:space="preserve"> </w:t>
      </w:r>
      <w:r w:rsidR="00161F8B" w:rsidRPr="0012743A">
        <w:rPr>
          <w:rFonts w:hint="eastAsia"/>
          <w:rtl/>
        </w:rPr>
        <w:t>יובהר</w:t>
      </w:r>
      <w:r w:rsidR="00161F8B" w:rsidRPr="0012743A">
        <w:rPr>
          <w:rtl/>
        </w:rPr>
        <w:t xml:space="preserve">, </w:t>
      </w:r>
      <w:r w:rsidR="00161F8B" w:rsidRPr="0012743A">
        <w:rPr>
          <w:rFonts w:hint="eastAsia"/>
          <w:rtl/>
        </w:rPr>
        <w:t>כי</w:t>
      </w:r>
      <w:r w:rsidR="00161F8B" w:rsidRPr="0012743A">
        <w:rPr>
          <w:rtl/>
        </w:rPr>
        <w:t xml:space="preserve"> </w:t>
      </w:r>
      <w:r w:rsidR="00161F8B" w:rsidRPr="0012743A">
        <w:rPr>
          <w:rFonts w:hint="eastAsia"/>
          <w:rtl/>
        </w:rPr>
        <w:t>אין</w:t>
      </w:r>
      <w:r w:rsidR="00161F8B" w:rsidRPr="0012743A">
        <w:rPr>
          <w:rtl/>
        </w:rPr>
        <w:t xml:space="preserve"> </w:t>
      </w:r>
      <w:r w:rsidR="00161F8B" w:rsidRPr="0012743A">
        <w:rPr>
          <w:rFonts w:hint="eastAsia"/>
          <w:rtl/>
        </w:rPr>
        <w:t>מניעה</w:t>
      </w:r>
      <w:r w:rsidR="00161F8B" w:rsidRPr="0012743A">
        <w:rPr>
          <w:rtl/>
        </w:rPr>
        <w:t xml:space="preserve">, </w:t>
      </w:r>
      <w:r w:rsidR="00161F8B" w:rsidRPr="0012743A">
        <w:rPr>
          <w:rFonts w:hint="eastAsia"/>
          <w:rtl/>
        </w:rPr>
        <w:t>לשלב</w:t>
      </w:r>
      <w:r w:rsidR="00161F8B" w:rsidRPr="0012743A">
        <w:rPr>
          <w:rtl/>
        </w:rPr>
        <w:t xml:space="preserve"> </w:t>
      </w:r>
      <w:r w:rsidR="00161F8B" w:rsidRPr="0012743A">
        <w:rPr>
          <w:rFonts w:hint="eastAsia"/>
          <w:rtl/>
        </w:rPr>
        <w:t>ולאשר</w:t>
      </w:r>
      <w:r w:rsidR="00161F8B" w:rsidRPr="0012743A">
        <w:rPr>
          <w:rtl/>
        </w:rPr>
        <w:t xml:space="preserve"> </w:t>
      </w:r>
      <w:r w:rsidR="00161F8B" w:rsidRPr="0012743A">
        <w:rPr>
          <w:rFonts w:hint="eastAsia"/>
          <w:rtl/>
        </w:rPr>
        <w:t>דירה</w:t>
      </w:r>
      <w:r w:rsidR="00161F8B" w:rsidRPr="0012743A">
        <w:rPr>
          <w:rtl/>
        </w:rPr>
        <w:t xml:space="preserve"> </w:t>
      </w:r>
      <w:r w:rsidR="00161F8B" w:rsidRPr="0012743A">
        <w:rPr>
          <w:rFonts w:hint="eastAsia"/>
          <w:rtl/>
        </w:rPr>
        <w:t>נוספת</w:t>
      </w:r>
      <w:r w:rsidR="00161F8B" w:rsidRPr="0012743A">
        <w:rPr>
          <w:rtl/>
        </w:rPr>
        <w:t xml:space="preserve">, </w:t>
      </w:r>
      <w:r w:rsidR="00161F8B" w:rsidRPr="0012743A">
        <w:rPr>
          <w:rFonts w:hint="eastAsia"/>
          <w:rtl/>
        </w:rPr>
        <w:t>אשר</w:t>
      </w:r>
      <w:r w:rsidR="00161F8B" w:rsidRPr="0012743A">
        <w:rPr>
          <w:rtl/>
        </w:rPr>
        <w:t xml:space="preserve"> </w:t>
      </w:r>
      <w:r w:rsidR="00161F8B" w:rsidRPr="0012743A">
        <w:rPr>
          <w:rFonts w:hint="eastAsia"/>
          <w:rtl/>
        </w:rPr>
        <w:t>חלק</w:t>
      </w:r>
      <w:r w:rsidR="00161F8B" w:rsidRPr="0012743A">
        <w:rPr>
          <w:rtl/>
        </w:rPr>
        <w:t xml:space="preserve"> משטחה יהיה בדרך של פיצול הדירה הקיימת וחלק משטחה יאושר כתוספת שטחי בניה </w:t>
      </w:r>
      <w:r w:rsidR="00161F8B" w:rsidRPr="0012743A">
        <w:rPr>
          <w:rFonts w:hint="eastAsia"/>
          <w:rtl/>
        </w:rPr>
        <w:t>בהקלה</w:t>
      </w:r>
      <w:r w:rsidR="00161F8B" w:rsidRPr="0012743A">
        <w:rPr>
          <w:rtl/>
        </w:rPr>
        <w:t xml:space="preserve"> </w:t>
      </w:r>
      <w:r w:rsidR="00161F8B" w:rsidRPr="0012743A">
        <w:rPr>
          <w:rFonts w:hint="eastAsia"/>
          <w:rtl/>
        </w:rPr>
        <w:t>לפי</w:t>
      </w:r>
      <w:r w:rsidR="00161F8B" w:rsidRPr="0012743A">
        <w:rPr>
          <w:rtl/>
        </w:rPr>
        <w:t xml:space="preserve"> סעיף זה. </w:t>
      </w:r>
      <w:r w:rsidR="00161F8B" w:rsidRPr="001D7B40">
        <w:rPr>
          <w:rtl/>
        </w:rPr>
        <w:t xml:space="preserve"> </w:t>
      </w:r>
    </w:p>
    <w:p w:rsidR="0008006B" w:rsidRPr="00EB54E1" w:rsidRDefault="00811D23" w:rsidP="00945EC8">
      <w:pPr>
        <w:pStyle w:val="Hesber1st"/>
        <w:tabs>
          <w:tab w:val="clear" w:pos="680"/>
        </w:tabs>
        <w:rPr>
          <w:b/>
          <w:bCs/>
          <w:rtl/>
        </w:rPr>
      </w:pPr>
      <w:r w:rsidRPr="00EB54E1">
        <w:rPr>
          <w:rFonts w:hint="eastAsia"/>
          <w:b/>
          <w:bCs/>
          <w:rtl/>
        </w:rPr>
        <w:t>לפסקה</w:t>
      </w:r>
      <w:r w:rsidRPr="00EB54E1">
        <w:rPr>
          <w:b/>
          <w:bCs/>
          <w:rtl/>
        </w:rPr>
        <w:t xml:space="preserve"> (י)(1)(א)</w:t>
      </w:r>
      <w:r w:rsidRPr="00EB54E1">
        <w:rPr>
          <w:b/>
          <w:bCs/>
          <w:rtl/>
        </w:rPr>
        <w:tab/>
      </w:r>
    </w:p>
    <w:p w:rsidR="002631D3" w:rsidRDefault="00811D23" w:rsidP="00945EC8">
      <w:pPr>
        <w:pStyle w:val="Hesber1st"/>
        <w:tabs>
          <w:tab w:val="clear" w:pos="680"/>
        </w:tabs>
        <w:rPr>
          <w:rtl/>
        </w:rPr>
      </w:pPr>
      <w:r>
        <w:rPr>
          <w:rFonts w:hint="cs"/>
          <w:rtl/>
        </w:rPr>
        <w:t xml:space="preserve">על מנת לוודא שתוספות הדירות יינתנו רק </w:t>
      </w:r>
      <w:r w:rsidR="00945EC8">
        <w:rPr>
          <w:rFonts w:hint="cs"/>
          <w:rtl/>
        </w:rPr>
        <w:t>במגרשים שאינם בבניה רוויה</w:t>
      </w:r>
      <w:r>
        <w:rPr>
          <w:rFonts w:hint="cs"/>
          <w:rtl/>
        </w:rPr>
        <w:t xml:space="preserve"> </w:t>
      </w:r>
      <w:r>
        <w:rPr>
          <w:rtl/>
        </w:rPr>
        <w:t>–</w:t>
      </w:r>
      <w:r>
        <w:rPr>
          <w:rFonts w:hint="cs"/>
          <w:rtl/>
        </w:rPr>
        <w:t xml:space="preserve"> מוצע לקבוע תנאי לפיו הקלות לפי תיקון זה יינתנו רק לדירות צמודות קרקע</w:t>
      </w:r>
      <w:r w:rsidR="002631D3">
        <w:rPr>
          <w:rFonts w:hint="cs"/>
          <w:rtl/>
        </w:rPr>
        <w:t>.</w:t>
      </w:r>
    </w:p>
    <w:p w:rsidR="0008006B" w:rsidRPr="00EB54E1" w:rsidRDefault="002631D3" w:rsidP="001A21B4">
      <w:pPr>
        <w:pStyle w:val="Hesber1st"/>
        <w:tabs>
          <w:tab w:val="clear" w:pos="680"/>
        </w:tabs>
        <w:rPr>
          <w:b/>
          <w:bCs/>
          <w:rtl/>
        </w:rPr>
      </w:pPr>
      <w:r w:rsidRPr="00EB54E1">
        <w:rPr>
          <w:rFonts w:hint="eastAsia"/>
          <w:b/>
          <w:bCs/>
          <w:rtl/>
        </w:rPr>
        <w:t>לפסקה</w:t>
      </w:r>
      <w:r w:rsidRPr="00EB54E1">
        <w:rPr>
          <w:b/>
          <w:bCs/>
          <w:rtl/>
        </w:rPr>
        <w:t xml:space="preserve"> (י)(1)(ב)</w:t>
      </w:r>
      <w:r w:rsidRPr="00EB54E1">
        <w:rPr>
          <w:b/>
          <w:bCs/>
          <w:rtl/>
        </w:rPr>
        <w:tab/>
      </w:r>
    </w:p>
    <w:p w:rsidR="002631D3" w:rsidRDefault="002631D3" w:rsidP="001A21B4">
      <w:pPr>
        <w:pStyle w:val="Hesber1st"/>
        <w:tabs>
          <w:tab w:val="clear" w:pos="680"/>
        </w:tabs>
        <w:rPr>
          <w:rtl/>
        </w:rPr>
      </w:pPr>
      <w:r>
        <w:rPr>
          <w:rFonts w:hint="cs"/>
          <w:rtl/>
        </w:rPr>
        <w:t>על מנת לוודא שהדירה</w:t>
      </w:r>
      <w:r w:rsidR="00741367">
        <w:rPr>
          <w:rFonts w:hint="cs"/>
          <w:rtl/>
        </w:rPr>
        <w:t>,</w:t>
      </w:r>
      <w:r>
        <w:rPr>
          <w:rFonts w:hint="cs"/>
          <w:rtl/>
        </w:rPr>
        <w:t xml:space="preserve"> לגביה מבוקשת הקלה על דרך של פיצול</w:t>
      </w:r>
      <w:r w:rsidR="00741367">
        <w:rPr>
          <w:rFonts w:hint="cs"/>
          <w:rtl/>
        </w:rPr>
        <w:t>,</w:t>
      </w:r>
      <w:r>
        <w:rPr>
          <w:rFonts w:hint="cs"/>
          <w:rtl/>
        </w:rPr>
        <w:t xml:space="preserve"> מאפשרת ביצוע פיצול אשר בסופו יוכלו להיווצר שתי יחידות דיור עצמאיות</w:t>
      </w:r>
      <w:r w:rsidR="00741367">
        <w:rPr>
          <w:rFonts w:hint="cs"/>
          <w:rtl/>
        </w:rPr>
        <w:t>,</w:t>
      </w:r>
      <w:r>
        <w:rPr>
          <w:rFonts w:hint="cs"/>
          <w:rtl/>
        </w:rPr>
        <w:t xml:space="preserve"> מוצע לקבוע כתנאי שג</w:t>
      </w:r>
      <w:r w:rsidR="00945EC8">
        <w:rPr>
          <w:rFonts w:hint="cs"/>
          <w:rtl/>
        </w:rPr>
        <w:t>וד</w:t>
      </w:r>
      <w:r>
        <w:rPr>
          <w:rFonts w:hint="cs"/>
          <w:rtl/>
        </w:rPr>
        <w:t>לה של הד</w:t>
      </w:r>
      <w:r w:rsidR="00945EC8">
        <w:rPr>
          <w:rFonts w:hint="cs"/>
          <w:rtl/>
        </w:rPr>
        <w:t>י</w:t>
      </w:r>
      <w:r>
        <w:rPr>
          <w:rFonts w:hint="cs"/>
          <w:rtl/>
        </w:rPr>
        <w:t>רה הקיימת יהיה לכל הפחות 120 מ"ר.</w:t>
      </w:r>
    </w:p>
    <w:p w:rsidR="0008006B" w:rsidRPr="00EB54E1" w:rsidRDefault="002631D3" w:rsidP="00741367">
      <w:pPr>
        <w:pStyle w:val="Hesber1st"/>
        <w:tabs>
          <w:tab w:val="clear" w:pos="680"/>
        </w:tabs>
        <w:rPr>
          <w:b/>
          <w:bCs/>
          <w:rtl/>
        </w:rPr>
      </w:pPr>
      <w:r w:rsidRPr="00EB54E1">
        <w:rPr>
          <w:rFonts w:hint="eastAsia"/>
          <w:b/>
          <w:bCs/>
          <w:rtl/>
        </w:rPr>
        <w:t>לפסקה</w:t>
      </w:r>
      <w:r w:rsidRPr="00EB54E1">
        <w:rPr>
          <w:b/>
          <w:bCs/>
          <w:rtl/>
        </w:rPr>
        <w:t xml:space="preserve"> (י)(1)(ג)</w:t>
      </w:r>
    </w:p>
    <w:p w:rsidR="002631D3" w:rsidRDefault="00013A0F" w:rsidP="00741367">
      <w:pPr>
        <w:pStyle w:val="Hesber1st"/>
        <w:tabs>
          <w:tab w:val="clear" w:pos="680"/>
        </w:tabs>
        <w:rPr>
          <w:rtl/>
        </w:rPr>
      </w:pPr>
      <w:r>
        <w:rPr>
          <w:rFonts w:hint="cs"/>
          <w:rtl/>
        </w:rPr>
        <w:t xml:space="preserve">על מנת שיחידת הדיור אשר תיווסף תשמש כיחידת דיור עצמאית, אשר איננה תלויה ביחידת הדיור הקיימת, מוצע לקבוע תנאי לפיו שטחה לא יפחת מ- 45 מ"ר והיא תכלול </w:t>
      </w:r>
      <w:r w:rsidR="00945EC8">
        <w:rPr>
          <w:rFonts w:hint="cs"/>
          <w:rtl/>
        </w:rPr>
        <w:t>רכיבים</w:t>
      </w:r>
      <w:r>
        <w:rPr>
          <w:rFonts w:hint="cs"/>
          <w:rtl/>
        </w:rPr>
        <w:t xml:space="preserve"> כגון  מטבח ושירותים וכן כניסה עצמאית. </w:t>
      </w:r>
    </w:p>
    <w:p w:rsidR="0008006B" w:rsidRPr="00EB54E1" w:rsidRDefault="002631D3" w:rsidP="00F27EF4">
      <w:pPr>
        <w:pStyle w:val="Hesber1st"/>
        <w:tabs>
          <w:tab w:val="clear" w:pos="680"/>
        </w:tabs>
        <w:rPr>
          <w:b/>
          <w:bCs/>
          <w:rtl/>
        </w:rPr>
      </w:pPr>
      <w:r w:rsidRPr="00EB54E1">
        <w:rPr>
          <w:rFonts w:hint="eastAsia"/>
          <w:b/>
          <w:bCs/>
          <w:rtl/>
        </w:rPr>
        <w:t>לפסקה</w:t>
      </w:r>
      <w:r w:rsidRPr="00EB54E1">
        <w:rPr>
          <w:b/>
          <w:bCs/>
          <w:rtl/>
        </w:rPr>
        <w:t xml:space="preserve"> (י)(1)(ד)</w:t>
      </w:r>
      <w:r w:rsidR="00013A0F" w:rsidRPr="00EB54E1">
        <w:rPr>
          <w:b/>
          <w:bCs/>
          <w:rtl/>
        </w:rPr>
        <w:tab/>
      </w:r>
    </w:p>
    <w:p w:rsidR="002631D3" w:rsidRDefault="00013A0F" w:rsidP="00F27EF4">
      <w:pPr>
        <w:pStyle w:val="Hesber1st"/>
        <w:tabs>
          <w:tab w:val="clear" w:pos="680"/>
        </w:tabs>
        <w:rPr>
          <w:rtl/>
        </w:rPr>
      </w:pPr>
      <w:r>
        <w:rPr>
          <w:rFonts w:hint="cs"/>
          <w:rtl/>
        </w:rPr>
        <w:t>מוצע לקבוע שכל תוספת זכויות בניה לפי סע</w:t>
      </w:r>
      <w:r w:rsidR="00945EC8">
        <w:rPr>
          <w:rFonts w:hint="cs"/>
          <w:rtl/>
        </w:rPr>
        <w:t>י</w:t>
      </w:r>
      <w:r>
        <w:rPr>
          <w:rFonts w:hint="cs"/>
          <w:rtl/>
        </w:rPr>
        <w:t xml:space="preserve">ף זה תיועד </w:t>
      </w:r>
      <w:r w:rsidR="00B25F6A">
        <w:rPr>
          <w:rFonts w:hint="cs"/>
          <w:rtl/>
        </w:rPr>
        <w:t xml:space="preserve">אך ורק לצורך הדירה הנוספת. זאת על מנת לוודא שההקלה </w:t>
      </w:r>
      <w:r w:rsidR="00741367">
        <w:rPr>
          <w:rFonts w:hint="cs"/>
          <w:rtl/>
        </w:rPr>
        <w:t>אכן נדרשת על מנת להוסיף יחידות דיור לשוק הדירות להשכרה ו</w:t>
      </w:r>
      <w:r w:rsidR="00B25F6A">
        <w:rPr>
          <w:rFonts w:hint="cs"/>
          <w:rtl/>
        </w:rPr>
        <w:t xml:space="preserve">לא מנוצלת </w:t>
      </w:r>
      <w:r w:rsidR="00741367">
        <w:rPr>
          <w:rFonts w:hint="cs"/>
          <w:rtl/>
        </w:rPr>
        <w:t>לצרכים אחרים</w:t>
      </w:r>
      <w:r w:rsidR="00B25F6A">
        <w:rPr>
          <w:rFonts w:hint="cs"/>
          <w:rtl/>
        </w:rPr>
        <w:t>.</w:t>
      </w:r>
      <w:r>
        <w:rPr>
          <w:rFonts w:hint="cs"/>
          <w:rtl/>
        </w:rPr>
        <w:t xml:space="preserve"> </w:t>
      </w:r>
    </w:p>
    <w:p w:rsidR="0008006B" w:rsidRPr="00EB54E1" w:rsidRDefault="002631D3" w:rsidP="001A21B4">
      <w:pPr>
        <w:pStyle w:val="Hesber1st"/>
        <w:tabs>
          <w:tab w:val="clear" w:pos="680"/>
        </w:tabs>
        <w:rPr>
          <w:b/>
          <w:bCs/>
          <w:rtl/>
        </w:rPr>
      </w:pPr>
      <w:r w:rsidRPr="00EB54E1">
        <w:rPr>
          <w:rFonts w:hint="eastAsia"/>
          <w:b/>
          <w:bCs/>
          <w:rtl/>
        </w:rPr>
        <w:t>לפסקה</w:t>
      </w:r>
      <w:r w:rsidRPr="00EB54E1">
        <w:rPr>
          <w:b/>
          <w:bCs/>
          <w:rtl/>
        </w:rPr>
        <w:t xml:space="preserve"> (י)(1)(ה)</w:t>
      </w:r>
      <w:r w:rsidR="00B25F6A" w:rsidRPr="00EB54E1">
        <w:rPr>
          <w:b/>
          <w:bCs/>
          <w:rtl/>
        </w:rPr>
        <w:tab/>
      </w:r>
    </w:p>
    <w:p w:rsidR="002631D3" w:rsidRDefault="00945EC8" w:rsidP="001A21B4">
      <w:pPr>
        <w:pStyle w:val="Hesber1st"/>
        <w:tabs>
          <w:tab w:val="clear" w:pos="680"/>
        </w:tabs>
        <w:rPr>
          <w:rtl/>
        </w:rPr>
      </w:pPr>
      <w:r>
        <w:rPr>
          <w:rFonts w:hint="cs"/>
          <w:rtl/>
        </w:rPr>
        <w:t>ההקלה תחול על תכניות שנכנסו לתוקף לפני יום 7 באוגוסט 2017, כלומר טרם תחול</w:t>
      </w:r>
      <w:r w:rsidR="001A21B4">
        <w:rPr>
          <w:rFonts w:hint="cs"/>
          <w:rtl/>
        </w:rPr>
        <w:t>ת</w:t>
      </w:r>
      <w:r>
        <w:rPr>
          <w:rFonts w:hint="cs"/>
          <w:rtl/>
        </w:rPr>
        <w:t xml:space="preserve"> הוראת השעה הקודמת בנושא. ההנחה היא כי בתכניות שאושרו לאחר מכן מוסד התכנון לקח בחשבון את נושא פיצול הדירה, והחיל זאת בתכנית ככל וסבר כי הדבר נכון מבחינה תכנונית.</w:t>
      </w:r>
    </w:p>
    <w:p w:rsidR="0008006B" w:rsidRPr="00EB54E1" w:rsidRDefault="002631D3" w:rsidP="00741367">
      <w:pPr>
        <w:pStyle w:val="Hesber1st"/>
        <w:tabs>
          <w:tab w:val="clear" w:pos="680"/>
        </w:tabs>
        <w:rPr>
          <w:b/>
          <w:bCs/>
          <w:rtl/>
        </w:rPr>
      </w:pPr>
      <w:r w:rsidRPr="00EB54E1">
        <w:rPr>
          <w:rFonts w:hint="eastAsia"/>
          <w:b/>
          <w:bCs/>
          <w:rtl/>
        </w:rPr>
        <w:t>לפסקה</w:t>
      </w:r>
      <w:r w:rsidRPr="00EB54E1">
        <w:rPr>
          <w:b/>
          <w:bCs/>
          <w:rtl/>
        </w:rPr>
        <w:t xml:space="preserve"> (י)(1)(ו)</w:t>
      </w:r>
      <w:r w:rsidR="00B25F6A" w:rsidRPr="00EB54E1">
        <w:rPr>
          <w:b/>
          <w:bCs/>
          <w:rtl/>
        </w:rPr>
        <w:tab/>
      </w:r>
      <w:r w:rsidR="000E0FF2" w:rsidRPr="00EB54E1">
        <w:rPr>
          <w:b/>
          <w:bCs/>
          <w:rtl/>
        </w:rPr>
        <w:tab/>
      </w:r>
    </w:p>
    <w:p w:rsidR="002631D3" w:rsidRDefault="00B25F6A" w:rsidP="00741367">
      <w:pPr>
        <w:pStyle w:val="Hesber1st"/>
        <w:tabs>
          <w:tab w:val="clear" w:pos="680"/>
        </w:tabs>
        <w:rPr>
          <w:rtl/>
        </w:rPr>
      </w:pPr>
      <w:r>
        <w:rPr>
          <w:rFonts w:hint="cs"/>
          <w:rtl/>
        </w:rPr>
        <w:t>על מנת לאפשר וויסות של כמות יחידות דיור אשר יתווספו בעקבות ההקלה בסעיף זה</w:t>
      </w:r>
      <w:r w:rsidR="00741367">
        <w:rPr>
          <w:rFonts w:hint="cs"/>
          <w:rtl/>
        </w:rPr>
        <w:t>,</w:t>
      </w:r>
      <w:r>
        <w:rPr>
          <w:rFonts w:hint="cs"/>
          <w:rtl/>
        </w:rPr>
        <w:t xml:space="preserve"> מוצע שלא לאפשר לאשר תכניות החורגות ממגבלה שתוכל לקבוע הוועדה לפי סעיף 2</w:t>
      </w:r>
      <w:r w:rsidR="00741367">
        <w:rPr>
          <w:rFonts w:hint="cs"/>
          <w:rtl/>
        </w:rPr>
        <w:t>.</w:t>
      </w:r>
      <w:r>
        <w:rPr>
          <w:rFonts w:hint="cs"/>
          <w:rtl/>
        </w:rPr>
        <w:t xml:space="preserve"> </w:t>
      </w:r>
      <w:r w:rsidR="00741367">
        <w:rPr>
          <w:rFonts w:hint="cs"/>
          <w:rtl/>
        </w:rPr>
        <w:t xml:space="preserve">לחלופין, אם לא נקבעה מגבלה, </w:t>
      </w:r>
      <w:r>
        <w:rPr>
          <w:rFonts w:hint="cs"/>
          <w:rtl/>
        </w:rPr>
        <w:t>אם חוות דעת מהנדס הוועדה שהוצגה לוועדה הניחה את דעתה של הוועדה שהתשתיות ומוסדות הציבור השונים</w:t>
      </w:r>
      <w:r w:rsidR="003454CE">
        <w:rPr>
          <w:rFonts w:hint="cs"/>
          <w:rtl/>
        </w:rPr>
        <w:t>,</w:t>
      </w:r>
      <w:r>
        <w:rPr>
          <w:rFonts w:hint="cs"/>
          <w:rtl/>
        </w:rPr>
        <w:t xml:space="preserve"> כמפורט בסעיף</w:t>
      </w:r>
      <w:r w:rsidR="003454CE">
        <w:rPr>
          <w:rFonts w:hint="cs"/>
          <w:rtl/>
        </w:rPr>
        <w:t>,</w:t>
      </w:r>
      <w:r>
        <w:rPr>
          <w:rFonts w:hint="cs"/>
          <w:rtl/>
        </w:rPr>
        <w:t xml:space="preserve"> לא נותנים מענה מספק לתו</w:t>
      </w:r>
      <w:r w:rsidR="003454CE">
        <w:rPr>
          <w:rFonts w:hint="cs"/>
          <w:rtl/>
        </w:rPr>
        <w:t>ס</w:t>
      </w:r>
      <w:r>
        <w:rPr>
          <w:rFonts w:hint="cs"/>
          <w:rtl/>
        </w:rPr>
        <w:t>פ</w:t>
      </w:r>
      <w:r w:rsidR="003454CE">
        <w:rPr>
          <w:rFonts w:hint="cs"/>
          <w:rtl/>
        </w:rPr>
        <w:t xml:space="preserve">ת האוכלוסייה הנובעת </w:t>
      </w:r>
      <w:r>
        <w:rPr>
          <w:rFonts w:hint="cs"/>
          <w:rtl/>
        </w:rPr>
        <w:t>מ</w:t>
      </w:r>
      <w:r w:rsidR="003454CE">
        <w:rPr>
          <w:rFonts w:hint="cs"/>
          <w:rtl/>
        </w:rPr>
        <w:t>ה</w:t>
      </w:r>
      <w:r>
        <w:rPr>
          <w:rFonts w:hint="cs"/>
          <w:rtl/>
        </w:rPr>
        <w:t>גדלת מספר יחידות הדיור ושטחי הבניה</w:t>
      </w:r>
      <w:r w:rsidR="00741367">
        <w:rPr>
          <w:rFonts w:hint="cs"/>
          <w:rtl/>
        </w:rPr>
        <w:t xml:space="preserve"> לא תאושר ההקלה</w:t>
      </w:r>
      <w:r>
        <w:rPr>
          <w:rFonts w:hint="cs"/>
          <w:rtl/>
        </w:rPr>
        <w:t>.</w:t>
      </w:r>
    </w:p>
    <w:p w:rsidR="0008006B" w:rsidRPr="00EB54E1" w:rsidRDefault="002631D3" w:rsidP="00B348B4">
      <w:pPr>
        <w:pStyle w:val="Hesber1st"/>
        <w:tabs>
          <w:tab w:val="clear" w:pos="680"/>
        </w:tabs>
        <w:rPr>
          <w:b/>
          <w:bCs/>
          <w:rtl/>
        </w:rPr>
      </w:pPr>
      <w:r w:rsidRPr="00EB54E1">
        <w:rPr>
          <w:rFonts w:hint="eastAsia"/>
          <w:b/>
          <w:bCs/>
          <w:rtl/>
        </w:rPr>
        <w:t>לפסקה</w:t>
      </w:r>
      <w:r w:rsidRPr="00EB54E1">
        <w:rPr>
          <w:b/>
          <w:bCs/>
          <w:rtl/>
        </w:rPr>
        <w:t xml:space="preserve"> (י)(1)(ז)</w:t>
      </w:r>
      <w:r w:rsidR="00B25F6A" w:rsidRPr="00EB54E1">
        <w:rPr>
          <w:b/>
          <w:bCs/>
          <w:rtl/>
        </w:rPr>
        <w:tab/>
      </w:r>
      <w:r w:rsidR="000E0FF2" w:rsidRPr="00EB54E1">
        <w:rPr>
          <w:b/>
          <w:bCs/>
          <w:rtl/>
        </w:rPr>
        <w:tab/>
      </w:r>
    </w:p>
    <w:p w:rsidR="002631D3" w:rsidRDefault="00377933" w:rsidP="00B348B4">
      <w:pPr>
        <w:pStyle w:val="Hesber1st"/>
        <w:tabs>
          <w:tab w:val="clear" w:pos="680"/>
        </w:tabs>
        <w:rPr>
          <w:rtl/>
        </w:rPr>
      </w:pPr>
      <w:r>
        <w:rPr>
          <w:rFonts w:hint="cs"/>
          <w:rtl/>
        </w:rPr>
        <w:t xml:space="preserve">מוצע כי הקלה לפי סעיף זה לא תאושר אם הוגשה התנגדות ולא הונחה דעתה של הוועדה המקומית שההקלה המבוקשת לא פוגעת באופן בלתי סביר </w:t>
      </w:r>
      <w:r w:rsidR="00161F8B">
        <w:rPr>
          <w:rtl/>
        </w:rPr>
        <w:t>בבעלים או במחזיקים בקרקע או בבניין הגובלים בקרקע או בבניין שלגביהם התבקשה ההקלה</w:t>
      </w:r>
      <w:r w:rsidR="00161F8B">
        <w:rPr>
          <w:rFonts w:hint="cs"/>
          <w:rtl/>
        </w:rPr>
        <w:t xml:space="preserve"> </w:t>
      </w:r>
      <w:r>
        <w:rPr>
          <w:rFonts w:hint="cs"/>
          <w:rtl/>
        </w:rPr>
        <w:t>ההתנגדות. כן מוצע לשמור על שיקול דעתה של הוועדה שלא לאשר הקלה בדרך של מתן תוספת בניה, גם אם לא הוגשה התנגדות, שכן הקלה בדרך זו עלולה להיות פוגענית יותר לעומת הקלה על דרך של פיצול.</w:t>
      </w:r>
      <w:r w:rsidR="00161F8B" w:rsidRPr="00161F8B">
        <w:rPr>
          <w:rtl/>
        </w:rPr>
        <w:t xml:space="preserve"> </w:t>
      </w:r>
    </w:p>
    <w:p w:rsidR="0008006B" w:rsidRPr="00EB54E1" w:rsidRDefault="002631D3" w:rsidP="00B348B4">
      <w:pPr>
        <w:pStyle w:val="Hesber1st"/>
        <w:tabs>
          <w:tab w:val="clear" w:pos="680"/>
        </w:tabs>
        <w:rPr>
          <w:b/>
          <w:bCs/>
          <w:rtl/>
        </w:rPr>
      </w:pPr>
      <w:r w:rsidRPr="00EB54E1">
        <w:rPr>
          <w:rFonts w:hint="eastAsia"/>
          <w:b/>
          <w:bCs/>
          <w:rtl/>
        </w:rPr>
        <w:t>לפסקה</w:t>
      </w:r>
      <w:r w:rsidRPr="00EB54E1">
        <w:rPr>
          <w:b/>
          <w:bCs/>
          <w:rtl/>
        </w:rPr>
        <w:t xml:space="preserve"> (י)(1)(ח)</w:t>
      </w:r>
      <w:r w:rsidR="00377933" w:rsidRPr="00EB54E1">
        <w:rPr>
          <w:b/>
          <w:bCs/>
          <w:rtl/>
        </w:rPr>
        <w:tab/>
      </w:r>
    </w:p>
    <w:p w:rsidR="002631D3" w:rsidRDefault="00377933" w:rsidP="0008006B">
      <w:pPr>
        <w:pStyle w:val="Hesber1st"/>
        <w:tabs>
          <w:tab w:val="clear" w:pos="680"/>
        </w:tabs>
        <w:rPr>
          <w:rtl/>
        </w:rPr>
      </w:pPr>
      <w:r w:rsidRPr="003454CE">
        <w:rPr>
          <w:rFonts w:hint="eastAsia"/>
          <w:rtl/>
        </w:rPr>
        <w:t>לאור</w:t>
      </w:r>
      <w:r w:rsidRPr="003454CE">
        <w:rPr>
          <w:rtl/>
        </w:rPr>
        <w:t xml:space="preserve"> </w:t>
      </w:r>
      <w:r w:rsidRPr="003454CE">
        <w:rPr>
          <w:rFonts w:hint="eastAsia"/>
          <w:rtl/>
        </w:rPr>
        <w:t>ההסדר</w:t>
      </w:r>
      <w:r w:rsidR="00945EC8">
        <w:rPr>
          <w:rFonts w:hint="cs"/>
          <w:rtl/>
        </w:rPr>
        <w:t>ים</w:t>
      </w:r>
      <w:r w:rsidRPr="003454CE">
        <w:rPr>
          <w:rtl/>
        </w:rPr>
        <w:t xml:space="preserve"> </w:t>
      </w:r>
      <w:r w:rsidRPr="003454CE">
        <w:rPr>
          <w:rFonts w:hint="eastAsia"/>
          <w:rtl/>
        </w:rPr>
        <w:t>הייחודי</w:t>
      </w:r>
      <w:r w:rsidR="00945EC8">
        <w:rPr>
          <w:rFonts w:hint="cs"/>
          <w:rtl/>
        </w:rPr>
        <w:t>ים</w:t>
      </w:r>
      <w:r w:rsidRPr="003454CE">
        <w:rPr>
          <w:rtl/>
        </w:rPr>
        <w:t xml:space="preserve"> </w:t>
      </w:r>
      <w:r w:rsidRPr="003454CE">
        <w:rPr>
          <w:rFonts w:hint="eastAsia"/>
          <w:rtl/>
        </w:rPr>
        <w:t>החל</w:t>
      </w:r>
      <w:r w:rsidR="00945EC8">
        <w:rPr>
          <w:rFonts w:hint="cs"/>
          <w:rtl/>
        </w:rPr>
        <w:t>ים</w:t>
      </w:r>
      <w:r w:rsidRPr="003454CE">
        <w:rPr>
          <w:rtl/>
        </w:rPr>
        <w:t xml:space="preserve"> </w:t>
      </w:r>
      <w:r w:rsidRPr="003454CE">
        <w:rPr>
          <w:rFonts w:hint="eastAsia"/>
          <w:rtl/>
        </w:rPr>
        <w:t>על</w:t>
      </w:r>
      <w:r w:rsidRPr="003454CE">
        <w:rPr>
          <w:rtl/>
        </w:rPr>
        <w:t xml:space="preserve"> </w:t>
      </w:r>
      <w:r w:rsidRPr="003454CE">
        <w:rPr>
          <w:rFonts w:hint="eastAsia"/>
          <w:rtl/>
        </w:rPr>
        <w:t>מת</w:t>
      </w:r>
      <w:r w:rsidR="00945EC8">
        <w:rPr>
          <w:rFonts w:hint="cs"/>
          <w:rtl/>
        </w:rPr>
        <w:t>חמ</w:t>
      </w:r>
      <w:r w:rsidRPr="003454CE">
        <w:rPr>
          <w:rFonts w:hint="eastAsia"/>
          <w:rtl/>
        </w:rPr>
        <w:t>י</w:t>
      </w:r>
      <w:r w:rsidRPr="003454CE">
        <w:rPr>
          <w:rtl/>
        </w:rPr>
        <w:t xml:space="preserve"> </w:t>
      </w:r>
      <w:r w:rsidRPr="003454CE">
        <w:rPr>
          <w:rFonts w:hint="eastAsia"/>
          <w:rtl/>
        </w:rPr>
        <w:t>השפעה</w:t>
      </w:r>
      <w:r w:rsidRPr="003454CE">
        <w:rPr>
          <w:rtl/>
        </w:rPr>
        <w:t xml:space="preserve"> </w:t>
      </w:r>
      <w:r w:rsidRPr="003454CE">
        <w:rPr>
          <w:rFonts w:hint="eastAsia"/>
          <w:rtl/>
        </w:rPr>
        <w:t>של</w:t>
      </w:r>
      <w:r w:rsidRPr="003454CE">
        <w:rPr>
          <w:rtl/>
        </w:rPr>
        <w:t xml:space="preserve"> </w:t>
      </w:r>
      <w:r w:rsidRPr="003454CE">
        <w:rPr>
          <w:rFonts w:hint="eastAsia"/>
          <w:rtl/>
        </w:rPr>
        <w:t>המטרו</w:t>
      </w:r>
      <w:r w:rsidR="00945EC8">
        <w:rPr>
          <w:rFonts w:hint="cs"/>
          <w:rtl/>
        </w:rPr>
        <w:t>, שמטרתם יצירת בינוי אינטנסיבי במתחמי ההשפעה,</w:t>
      </w:r>
      <w:r w:rsidRPr="003454CE">
        <w:rPr>
          <w:rtl/>
        </w:rPr>
        <w:t xml:space="preserve"> </w:t>
      </w:r>
      <w:r w:rsidRPr="003454CE">
        <w:rPr>
          <w:rFonts w:hint="eastAsia"/>
          <w:rtl/>
        </w:rPr>
        <w:t>מוצע</w:t>
      </w:r>
      <w:r w:rsidRPr="003454CE">
        <w:rPr>
          <w:rtl/>
        </w:rPr>
        <w:t xml:space="preserve"> </w:t>
      </w:r>
      <w:r w:rsidRPr="003454CE">
        <w:rPr>
          <w:rFonts w:hint="eastAsia"/>
          <w:rtl/>
        </w:rPr>
        <w:t>להחריג</w:t>
      </w:r>
      <w:r w:rsidRPr="003454CE">
        <w:rPr>
          <w:rtl/>
        </w:rPr>
        <w:t xml:space="preserve"> </w:t>
      </w:r>
      <w:r w:rsidRPr="003454CE">
        <w:rPr>
          <w:rFonts w:hint="eastAsia"/>
          <w:rtl/>
        </w:rPr>
        <w:t>מקרקעין</w:t>
      </w:r>
      <w:r w:rsidRPr="003454CE">
        <w:rPr>
          <w:rtl/>
        </w:rPr>
        <w:t xml:space="preserve"> </w:t>
      </w:r>
      <w:r w:rsidRPr="003454CE">
        <w:rPr>
          <w:rFonts w:hint="eastAsia"/>
          <w:rtl/>
        </w:rPr>
        <w:t>שנתונים</w:t>
      </w:r>
      <w:r w:rsidRPr="003454CE">
        <w:rPr>
          <w:rtl/>
        </w:rPr>
        <w:t xml:space="preserve"> </w:t>
      </w:r>
      <w:r w:rsidRPr="003454CE">
        <w:rPr>
          <w:rFonts w:hint="eastAsia"/>
          <w:rtl/>
        </w:rPr>
        <w:t>להסדרה</w:t>
      </w:r>
      <w:r w:rsidRPr="003454CE">
        <w:rPr>
          <w:rtl/>
        </w:rPr>
        <w:t xml:space="preserve"> </w:t>
      </w:r>
      <w:r w:rsidRPr="003454CE">
        <w:rPr>
          <w:rFonts w:hint="eastAsia"/>
          <w:rtl/>
        </w:rPr>
        <w:t>ייחודית</w:t>
      </w:r>
      <w:r w:rsidR="0008006B">
        <w:rPr>
          <w:rFonts w:hint="cs"/>
          <w:rtl/>
        </w:rPr>
        <w:t xml:space="preserve"> זו</w:t>
      </w:r>
      <w:r w:rsidRPr="003454CE">
        <w:rPr>
          <w:rtl/>
        </w:rPr>
        <w:t xml:space="preserve"> </w:t>
      </w:r>
      <w:r w:rsidRPr="003454CE">
        <w:rPr>
          <w:rFonts w:hint="eastAsia"/>
          <w:rtl/>
        </w:rPr>
        <w:t>מתחולת</w:t>
      </w:r>
      <w:r w:rsidRPr="003454CE">
        <w:rPr>
          <w:rtl/>
        </w:rPr>
        <w:t xml:space="preserve"> </w:t>
      </w:r>
      <w:r w:rsidRPr="003454CE">
        <w:rPr>
          <w:rFonts w:hint="eastAsia"/>
          <w:rtl/>
        </w:rPr>
        <w:t>חוק</w:t>
      </w:r>
      <w:r w:rsidRPr="003454CE">
        <w:rPr>
          <w:rtl/>
        </w:rPr>
        <w:t xml:space="preserve"> </w:t>
      </w:r>
      <w:r w:rsidRPr="003454CE">
        <w:rPr>
          <w:rFonts w:hint="eastAsia"/>
          <w:rtl/>
        </w:rPr>
        <w:t>זה</w:t>
      </w:r>
      <w:r w:rsidRPr="003454CE">
        <w:rPr>
          <w:rtl/>
        </w:rPr>
        <w:t xml:space="preserve"> </w:t>
      </w:r>
      <w:r w:rsidRPr="003454CE">
        <w:rPr>
          <w:rFonts w:hint="eastAsia"/>
          <w:rtl/>
        </w:rPr>
        <w:t>וזאת</w:t>
      </w:r>
      <w:r w:rsidRPr="003454CE">
        <w:rPr>
          <w:rtl/>
        </w:rPr>
        <w:t xml:space="preserve"> </w:t>
      </w:r>
      <w:r w:rsidRPr="003454CE">
        <w:rPr>
          <w:rFonts w:hint="eastAsia"/>
          <w:rtl/>
        </w:rPr>
        <w:t>על</w:t>
      </w:r>
      <w:r w:rsidRPr="003454CE">
        <w:rPr>
          <w:rtl/>
        </w:rPr>
        <w:t xml:space="preserve"> </w:t>
      </w:r>
      <w:r w:rsidRPr="003454CE">
        <w:rPr>
          <w:rFonts w:hint="eastAsia"/>
          <w:rtl/>
        </w:rPr>
        <w:t>מנת</w:t>
      </w:r>
      <w:r w:rsidRPr="003454CE">
        <w:rPr>
          <w:rtl/>
        </w:rPr>
        <w:t xml:space="preserve"> </w:t>
      </w:r>
      <w:r w:rsidRPr="003454CE">
        <w:rPr>
          <w:rFonts w:hint="eastAsia"/>
          <w:rtl/>
        </w:rPr>
        <w:t>שלא</w:t>
      </w:r>
      <w:r w:rsidRPr="003454CE">
        <w:rPr>
          <w:rtl/>
        </w:rPr>
        <w:t xml:space="preserve"> </w:t>
      </w:r>
      <w:r w:rsidRPr="003454CE">
        <w:rPr>
          <w:rFonts w:hint="eastAsia"/>
          <w:rtl/>
        </w:rPr>
        <w:t>ליצור</w:t>
      </w:r>
      <w:r w:rsidRPr="003454CE">
        <w:rPr>
          <w:rtl/>
        </w:rPr>
        <w:t xml:space="preserve"> </w:t>
      </w:r>
      <w:r w:rsidRPr="003454CE">
        <w:rPr>
          <w:rFonts w:hint="eastAsia"/>
          <w:rtl/>
        </w:rPr>
        <w:t>התנגשות</w:t>
      </w:r>
      <w:r w:rsidRPr="003454CE">
        <w:rPr>
          <w:rtl/>
        </w:rPr>
        <w:t xml:space="preserve"> </w:t>
      </w:r>
      <w:r w:rsidRPr="003454CE">
        <w:rPr>
          <w:rFonts w:hint="eastAsia"/>
          <w:rtl/>
        </w:rPr>
        <w:t>בין</w:t>
      </w:r>
      <w:r w:rsidRPr="003454CE">
        <w:rPr>
          <w:rtl/>
        </w:rPr>
        <w:t xml:space="preserve"> </w:t>
      </w:r>
      <w:r w:rsidRPr="003454CE">
        <w:rPr>
          <w:rFonts w:hint="eastAsia"/>
          <w:rtl/>
        </w:rPr>
        <w:t>מטרות</w:t>
      </w:r>
      <w:r w:rsidRPr="003454CE">
        <w:rPr>
          <w:rtl/>
        </w:rPr>
        <w:t xml:space="preserve"> </w:t>
      </w:r>
      <w:r w:rsidRPr="003454CE">
        <w:rPr>
          <w:rFonts w:hint="eastAsia"/>
          <w:rtl/>
        </w:rPr>
        <w:t>ההסדרים</w:t>
      </w:r>
      <w:r w:rsidRPr="003454CE">
        <w:rPr>
          <w:rtl/>
        </w:rPr>
        <w:t xml:space="preserve"> </w:t>
      </w:r>
      <w:r w:rsidRPr="003454CE">
        <w:rPr>
          <w:rFonts w:hint="eastAsia"/>
          <w:rtl/>
        </w:rPr>
        <w:t>השונים</w:t>
      </w:r>
      <w:r w:rsidR="0008006B">
        <w:rPr>
          <w:rFonts w:hint="cs"/>
          <w:rtl/>
        </w:rPr>
        <w:t xml:space="preserve"> ולאפשר קידום יעיל ומיטבי של האזור סובב תחנות המטרו</w:t>
      </w:r>
      <w:r w:rsidRPr="003454CE">
        <w:rPr>
          <w:rtl/>
        </w:rPr>
        <w:t>.</w:t>
      </w:r>
    </w:p>
    <w:p w:rsidR="000E0FF2" w:rsidRDefault="00377933" w:rsidP="00B348B4">
      <w:pPr>
        <w:pStyle w:val="Hesber1st"/>
        <w:tabs>
          <w:tab w:val="clear" w:pos="680"/>
        </w:tabs>
        <w:rPr>
          <w:rtl/>
        </w:rPr>
      </w:pPr>
      <w:r w:rsidRPr="00EB54E1">
        <w:rPr>
          <w:rFonts w:hint="eastAsia"/>
          <w:b/>
          <w:bCs/>
          <w:rtl/>
        </w:rPr>
        <w:t>לפסקה</w:t>
      </w:r>
      <w:r w:rsidRPr="00EB54E1">
        <w:rPr>
          <w:b/>
          <w:bCs/>
          <w:rtl/>
        </w:rPr>
        <w:t xml:space="preserve"> (י)(2)</w:t>
      </w:r>
      <w:r>
        <w:rPr>
          <w:rFonts w:hint="cs"/>
          <w:rtl/>
        </w:rPr>
        <w:t xml:space="preserve">  </w:t>
      </w:r>
      <w:r w:rsidR="00945EC8">
        <w:rPr>
          <w:rFonts w:hint="cs"/>
          <w:rtl/>
        </w:rPr>
        <w:tab/>
      </w:r>
    </w:p>
    <w:p w:rsidR="002631D3" w:rsidRDefault="00945EC8" w:rsidP="00B348B4">
      <w:pPr>
        <w:pStyle w:val="Hesber1st"/>
        <w:tabs>
          <w:tab w:val="clear" w:pos="680"/>
        </w:tabs>
        <w:rPr>
          <w:rtl/>
        </w:rPr>
      </w:pPr>
      <w:r>
        <w:rPr>
          <w:rFonts w:hint="cs"/>
          <w:rtl/>
        </w:rPr>
        <w:t xml:space="preserve">מוצע לאפשר לוועדה מקומית לקבוע </w:t>
      </w:r>
      <w:r w:rsidR="00741367">
        <w:rPr>
          <w:rFonts w:hint="cs"/>
          <w:rtl/>
        </w:rPr>
        <w:t xml:space="preserve">את </w:t>
      </w:r>
      <w:r w:rsidRPr="00945EC8">
        <w:rPr>
          <w:rtl/>
        </w:rPr>
        <w:t xml:space="preserve">מספר דירות המגורים </w:t>
      </w:r>
      <w:r>
        <w:rPr>
          <w:rFonts w:hint="cs"/>
          <w:rtl/>
        </w:rPr>
        <w:t>מקסימלי</w:t>
      </w:r>
      <w:r w:rsidRPr="00945EC8">
        <w:rPr>
          <w:rtl/>
        </w:rPr>
        <w:t xml:space="preserve"> שהיא תתיר לפצל או להוסיף לפי הוראות סעיף קטן זה בתחום מרחב התכנון שלה</w:t>
      </w:r>
      <w:r>
        <w:rPr>
          <w:rFonts w:hint="cs"/>
          <w:rtl/>
        </w:rPr>
        <w:t xml:space="preserve">, </w:t>
      </w:r>
      <w:r w:rsidRPr="00945EC8">
        <w:rPr>
          <w:rtl/>
        </w:rPr>
        <w:t xml:space="preserve">בהתחשב במוסדות הציבור, השטחים הפתוחים, התשתיות ושטחי החניה הקיימים </w:t>
      </w:r>
      <w:r>
        <w:rPr>
          <w:rFonts w:hint="cs"/>
          <w:rtl/>
        </w:rPr>
        <w:t>בתחומה, אולם מספר זה יעמוד לכל הפחות על 20 אחוזים ממספר הדירות צמודות הקרקע שבתחומה. על החלטה זו ניתן יהיה להגיש ערר לוועדת ערר המחוזית.</w:t>
      </w:r>
    </w:p>
    <w:p w:rsidR="000E0FF2" w:rsidRPr="00EB54E1" w:rsidRDefault="00161F8B" w:rsidP="001A21B4">
      <w:pPr>
        <w:pStyle w:val="Hesber1st"/>
        <w:tabs>
          <w:tab w:val="clear" w:pos="680"/>
        </w:tabs>
        <w:rPr>
          <w:b/>
          <w:bCs/>
          <w:rtl/>
        </w:rPr>
      </w:pPr>
      <w:r w:rsidRPr="00EB54E1">
        <w:rPr>
          <w:rFonts w:hint="eastAsia"/>
          <w:b/>
          <w:bCs/>
          <w:rtl/>
        </w:rPr>
        <w:t>לפסקה</w:t>
      </w:r>
      <w:r w:rsidRPr="00EB54E1">
        <w:rPr>
          <w:b/>
          <w:bCs/>
          <w:rtl/>
        </w:rPr>
        <w:t xml:space="preserve"> (י)(3) </w:t>
      </w:r>
      <w:r w:rsidR="001A21B4" w:rsidRPr="00EB54E1">
        <w:rPr>
          <w:b/>
          <w:bCs/>
          <w:rtl/>
        </w:rPr>
        <w:tab/>
      </w:r>
    </w:p>
    <w:p w:rsidR="00161F8B" w:rsidRPr="003454CE" w:rsidRDefault="0008006B" w:rsidP="001A21B4">
      <w:pPr>
        <w:pStyle w:val="Hesber1st"/>
        <w:tabs>
          <w:tab w:val="clear" w:pos="680"/>
        </w:tabs>
        <w:rPr>
          <w:rtl/>
        </w:rPr>
      </w:pPr>
      <w:r>
        <w:rPr>
          <w:rFonts w:hint="cs"/>
          <w:rtl/>
        </w:rPr>
        <w:t>מוצע לקבוע</w:t>
      </w:r>
      <w:r w:rsidR="00161F8B" w:rsidRPr="003454CE">
        <w:rPr>
          <w:rtl/>
        </w:rPr>
        <w:t xml:space="preserve"> </w:t>
      </w:r>
      <w:r w:rsidR="00161F8B" w:rsidRPr="003454CE">
        <w:rPr>
          <w:rFonts w:hint="eastAsia"/>
          <w:rtl/>
        </w:rPr>
        <w:t>כי</w:t>
      </w:r>
      <w:r w:rsidR="00161F8B" w:rsidRPr="003454CE">
        <w:rPr>
          <w:rtl/>
        </w:rPr>
        <w:t xml:space="preserve"> </w:t>
      </w:r>
      <w:r w:rsidR="00161F8B" w:rsidRPr="003454CE">
        <w:rPr>
          <w:rFonts w:hint="eastAsia"/>
          <w:rtl/>
        </w:rPr>
        <w:t>ככל</w:t>
      </w:r>
      <w:r w:rsidR="00161F8B" w:rsidRPr="003454CE">
        <w:rPr>
          <w:rtl/>
        </w:rPr>
        <w:t xml:space="preserve"> </w:t>
      </w:r>
      <w:r w:rsidR="00161F8B" w:rsidRPr="003454CE">
        <w:rPr>
          <w:rFonts w:hint="eastAsia"/>
          <w:rtl/>
        </w:rPr>
        <w:t>ותתווסף</w:t>
      </w:r>
      <w:r w:rsidR="00161F8B" w:rsidRPr="003454CE">
        <w:rPr>
          <w:rtl/>
        </w:rPr>
        <w:t xml:space="preserve"> יחידת דיור בהקלה לפי סעיף קטן זה </w:t>
      </w:r>
      <w:r w:rsidR="00161F8B" w:rsidRPr="003454CE">
        <w:rPr>
          <w:rFonts w:hint="eastAsia"/>
          <w:rtl/>
        </w:rPr>
        <w:t>ב</w:t>
      </w:r>
      <w:r w:rsidR="00161F8B" w:rsidRPr="003454CE">
        <w:rPr>
          <w:rtl/>
        </w:rPr>
        <w:t xml:space="preserve">יישוב שנקבעה לגביו מגבלה בתכנית מיתאר ארצית משולבת לבנייה, לפיתוח ולשימור (תמ"א 35), התוספת </w:t>
      </w:r>
      <w:r w:rsidR="00161F8B" w:rsidRPr="003454CE">
        <w:rPr>
          <w:rFonts w:hint="eastAsia"/>
          <w:rtl/>
        </w:rPr>
        <w:t>תובא</w:t>
      </w:r>
      <w:r w:rsidR="00161F8B" w:rsidRPr="003454CE">
        <w:rPr>
          <w:rtl/>
        </w:rPr>
        <w:t xml:space="preserve"> </w:t>
      </w:r>
      <w:r w:rsidR="00161F8B" w:rsidRPr="003454CE">
        <w:rPr>
          <w:rFonts w:hint="eastAsia"/>
          <w:rtl/>
        </w:rPr>
        <w:t>בחשבון</w:t>
      </w:r>
      <w:r w:rsidR="00161F8B" w:rsidRPr="003454CE">
        <w:rPr>
          <w:rtl/>
        </w:rPr>
        <w:t xml:space="preserve"> </w:t>
      </w:r>
      <w:r w:rsidR="00161F8B" w:rsidRPr="003454CE">
        <w:rPr>
          <w:rFonts w:hint="eastAsia"/>
          <w:rtl/>
        </w:rPr>
        <w:t>לעניין</w:t>
      </w:r>
      <w:r w:rsidR="00161F8B" w:rsidRPr="003454CE">
        <w:rPr>
          <w:rtl/>
        </w:rPr>
        <w:t xml:space="preserve"> המגבלה על היקף יחידות הדיור למעט תוספת של עד 15% מהשיעור שנקבע </w:t>
      </w:r>
      <w:r w:rsidR="00161F8B" w:rsidRPr="003454CE">
        <w:rPr>
          <w:rFonts w:hint="eastAsia"/>
          <w:rtl/>
        </w:rPr>
        <w:t>בתמ</w:t>
      </w:r>
      <w:r w:rsidR="00161F8B" w:rsidRPr="003454CE">
        <w:rPr>
          <w:rtl/>
        </w:rPr>
        <w:t>"א כאמור במחוזות צפון ודרום.</w:t>
      </w:r>
    </w:p>
    <w:p w:rsidR="00161F8B" w:rsidRDefault="00161F8B" w:rsidP="00161F8B">
      <w:pPr>
        <w:pStyle w:val="Hesber1st"/>
        <w:tabs>
          <w:tab w:val="clear" w:pos="680"/>
        </w:tabs>
        <w:rPr>
          <w:rtl/>
        </w:rPr>
      </w:pPr>
      <w:r w:rsidRPr="003454CE">
        <w:rPr>
          <w:rFonts w:hint="eastAsia"/>
          <w:rtl/>
        </w:rPr>
        <w:t>כמו</w:t>
      </w:r>
      <w:r w:rsidRPr="003454CE">
        <w:rPr>
          <w:rtl/>
        </w:rPr>
        <w:t xml:space="preserve"> </w:t>
      </w:r>
      <w:r w:rsidRPr="003454CE">
        <w:rPr>
          <w:rFonts w:hint="eastAsia"/>
          <w:rtl/>
        </w:rPr>
        <w:t>כן</w:t>
      </w:r>
      <w:r w:rsidRPr="003454CE">
        <w:rPr>
          <w:rtl/>
        </w:rPr>
        <w:t xml:space="preserve">, </w:t>
      </w:r>
      <w:r w:rsidRPr="003454CE">
        <w:rPr>
          <w:rFonts w:hint="eastAsia"/>
          <w:rtl/>
        </w:rPr>
        <w:t>בכל</w:t>
      </w:r>
      <w:r w:rsidRPr="003454CE">
        <w:rPr>
          <w:rtl/>
        </w:rPr>
        <w:t xml:space="preserve"> </w:t>
      </w:r>
      <w:r w:rsidRPr="003454CE">
        <w:rPr>
          <w:rFonts w:hint="eastAsia"/>
          <w:rtl/>
        </w:rPr>
        <w:t>יישוב</w:t>
      </w:r>
      <w:r w:rsidRPr="003454CE">
        <w:rPr>
          <w:rtl/>
        </w:rPr>
        <w:t xml:space="preserve"> </w:t>
      </w:r>
      <w:r w:rsidRPr="003454CE">
        <w:rPr>
          <w:rFonts w:hint="eastAsia"/>
          <w:rtl/>
        </w:rPr>
        <w:t>שנקבעה</w:t>
      </w:r>
      <w:r w:rsidRPr="003454CE">
        <w:rPr>
          <w:rtl/>
        </w:rPr>
        <w:t xml:space="preserve"> </w:t>
      </w:r>
      <w:r w:rsidRPr="003454CE">
        <w:rPr>
          <w:rFonts w:hint="eastAsia"/>
          <w:rtl/>
        </w:rPr>
        <w:t>לגביו</w:t>
      </w:r>
      <w:r w:rsidRPr="003454CE">
        <w:rPr>
          <w:rtl/>
        </w:rPr>
        <w:t xml:space="preserve"> </w:t>
      </w:r>
      <w:r w:rsidRPr="003454CE">
        <w:rPr>
          <w:rFonts w:hint="eastAsia"/>
          <w:rtl/>
        </w:rPr>
        <w:t>מגבלה</w:t>
      </w:r>
      <w:r w:rsidRPr="003454CE">
        <w:rPr>
          <w:rtl/>
        </w:rPr>
        <w:t xml:space="preserve"> </w:t>
      </w:r>
      <w:r w:rsidRPr="003454CE">
        <w:rPr>
          <w:rFonts w:hint="eastAsia"/>
          <w:rtl/>
        </w:rPr>
        <w:t>כאמור</w:t>
      </w:r>
      <w:r w:rsidRPr="003454CE">
        <w:rPr>
          <w:rtl/>
        </w:rPr>
        <w:t xml:space="preserve">, </w:t>
      </w:r>
      <w:r w:rsidRPr="003454CE">
        <w:rPr>
          <w:rFonts w:hint="eastAsia"/>
          <w:rtl/>
        </w:rPr>
        <w:t>אף</w:t>
      </w:r>
      <w:r w:rsidRPr="003454CE">
        <w:rPr>
          <w:rtl/>
        </w:rPr>
        <w:t xml:space="preserve"> </w:t>
      </w:r>
      <w:r w:rsidRPr="003454CE">
        <w:rPr>
          <w:rFonts w:hint="eastAsia"/>
          <w:rtl/>
        </w:rPr>
        <w:t>אם</w:t>
      </w:r>
      <w:r w:rsidRPr="003454CE">
        <w:rPr>
          <w:rtl/>
        </w:rPr>
        <w:t xml:space="preserve"> </w:t>
      </w:r>
      <w:r w:rsidRPr="003454CE">
        <w:rPr>
          <w:rFonts w:hint="eastAsia"/>
          <w:rtl/>
        </w:rPr>
        <w:t>אינו</w:t>
      </w:r>
      <w:r w:rsidRPr="003454CE">
        <w:rPr>
          <w:rtl/>
        </w:rPr>
        <w:t xml:space="preserve"> </w:t>
      </w:r>
      <w:r w:rsidRPr="003454CE">
        <w:rPr>
          <w:rFonts w:hint="eastAsia"/>
          <w:rtl/>
        </w:rPr>
        <w:t>במחוז</w:t>
      </w:r>
      <w:r w:rsidRPr="003454CE">
        <w:rPr>
          <w:rtl/>
        </w:rPr>
        <w:t xml:space="preserve"> </w:t>
      </w:r>
      <w:r w:rsidRPr="003454CE">
        <w:rPr>
          <w:rFonts w:hint="eastAsia"/>
          <w:rtl/>
        </w:rPr>
        <w:t>הצפון</w:t>
      </w:r>
      <w:r w:rsidRPr="003454CE">
        <w:rPr>
          <w:rtl/>
        </w:rPr>
        <w:t xml:space="preserve"> </w:t>
      </w:r>
      <w:r w:rsidRPr="003454CE">
        <w:rPr>
          <w:rFonts w:hint="eastAsia"/>
          <w:rtl/>
        </w:rPr>
        <w:t>או</w:t>
      </w:r>
      <w:r w:rsidRPr="003454CE">
        <w:rPr>
          <w:rtl/>
        </w:rPr>
        <w:t xml:space="preserve"> </w:t>
      </w:r>
      <w:r w:rsidRPr="003454CE">
        <w:rPr>
          <w:rFonts w:hint="eastAsia"/>
          <w:rtl/>
        </w:rPr>
        <w:t>הדרום</w:t>
      </w:r>
      <w:r w:rsidRPr="003454CE">
        <w:rPr>
          <w:rtl/>
        </w:rPr>
        <w:t xml:space="preserve">, </w:t>
      </w:r>
      <w:r w:rsidRPr="003454CE">
        <w:rPr>
          <w:rFonts w:hint="eastAsia"/>
          <w:rtl/>
        </w:rPr>
        <w:t>לא</w:t>
      </w:r>
      <w:r w:rsidRPr="003454CE">
        <w:rPr>
          <w:rtl/>
        </w:rPr>
        <w:t xml:space="preserve"> </w:t>
      </w:r>
      <w:r w:rsidRPr="003454CE">
        <w:rPr>
          <w:rFonts w:hint="eastAsia"/>
          <w:rtl/>
        </w:rPr>
        <w:t>תהיה</w:t>
      </w:r>
      <w:r w:rsidRPr="003454CE">
        <w:rPr>
          <w:rtl/>
        </w:rPr>
        <w:t xml:space="preserve"> </w:t>
      </w:r>
      <w:r w:rsidRPr="003454CE">
        <w:rPr>
          <w:rFonts w:hint="eastAsia"/>
          <w:rtl/>
        </w:rPr>
        <w:t>מגבלה</w:t>
      </w:r>
      <w:r w:rsidRPr="003454CE">
        <w:rPr>
          <w:rtl/>
        </w:rPr>
        <w:t xml:space="preserve"> </w:t>
      </w:r>
      <w:r w:rsidRPr="003454CE">
        <w:rPr>
          <w:rFonts w:hint="eastAsia"/>
          <w:rtl/>
        </w:rPr>
        <w:t>על</w:t>
      </w:r>
      <w:r w:rsidRPr="003454CE">
        <w:rPr>
          <w:rtl/>
        </w:rPr>
        <w:t xml:space="preserve"> </w:t>
      </w:r>
      <w:r w:rsidRPr="003454CE">
        <w:rPr>
          <w:rFonts w:hint="eastAsia"/>
          <w:rtl/>
        </w:rPr>
        <w:t>מספר</w:t>
      </w:r>
      <w:r w:rsidRPr="003454CE">
        <w:rPr>
          <w:rtl/>
        </w:rPr>
        <w:t xml:space="preserve"> </w:t>
      </w:r>
      <w:r w:rsidRPr="003454CE">
        <w:rPr>
          <w:rFonts w:hint="eastAsia"/>
          <w:rtl/>
        </w:rPr>
        <w:t>דירות</w:t>
      </w:r>
      <w:r w:rsidRPr="003454CE">
        <w:rPr>
          <w:rtl/>
        </w:rPr>
        <w:t xml:space="preserve"> </w:t>
      </w:r>
      <w:r w:rsidRPr="003454CE">
        <w:rPr>
          <w:rFonts w:hint="eastAsia"/>
          <w:rtl/>
        </w:rPr>
        <w:t>המגורים</w:t>
      </w:r>
      <w:r w:rsidRPr="003454CE">
        <w:rPr>
          <w:rtl/>
        </w:rPr>
        <w:t xml:space="preserve"> </w:t>
      </w:r>
      <w:r w:rsidRPr="003454CE">
        <w:rPr>
          <w:rFonts w:hint="eastAsia"/>
          <w:rtl/>
        </w:rPr>
        <w:t>המזערי</w:t>
      </w:r>
      <w:r w:rsidRPr="003454CE">
        <w:rPr>
          <w:rtl/>
        </w:rPr>
        <w:t xml:space="preserve"> </w:t>
      </w:r>
      <w:r w:rsidRPr="003454CE">
        <w:rPr>
          <w:rFonts w:hint="eastAsia"/>
          <w:rtl/>
        </w:rPr>
        <w:t>שוועדה</w:t>
      </w:r>
      <w:r w:rsidRPr="003454CE">
        <w:rPr>
          <w:rtl/>
        </w:rPr>
        <w:t xml:space="preserve"> </w:t>
      </w:r>
      <w:r w:rsidRPr="003454CE">
        <w:rPr>
          <w:rFonts w:hint="eastAsia"/>
          <w:rtl/>
        </w:rPr>
        <w:t>מקומית</w:t>
      </w:r>
      <w:r w:rsidRPr="003454CE">
        <w:rPr>
          <w:rtl/>
        </w:rPr>
        <w:t xml:space="preserve"> </w:t>
      </w:r>
      <w:r w:rsidRPr="003454CE">
        <w:rPr>
          <w:rFonts w:hint="eastAsia"/>
          <w:rtl/>
        </w:rPr>
        <w:t>רשאית</w:t>
      </w:r>
      <w:r w:rsidRPr="003454CE">
        <w:rPr>
          <w:rtl/>
        </w:rPr>
        <w:t xml:space="preserve"> </w:t>
      </w:r>
      <w:r w:rsidRPr="003454CE">
        <w:rPr>
          <w:rFonts w:hint="eastAsia"/>
          <w:rtl/>
        </w:rPr>
        <w:t>להתיר</w:t>
      </w:r>
      <w:r w:rsidRPr="003454CE">
        <w:rPr>
          <w:rtl/>
        </w:rPr>
        <w:t xml:space="preserve"> </w:t>
      </w:r>
      <w:r w:rsidRPr="003454CE">
        <w:rPr>
          <w:rFonts w:hint="eastAsia"/>
          <w:rtl/>
        </w:rPr>
        <w:t>לפצל</w:t>
      </w:r>
      <w:r w:rsidRPr="003454CE">
        <w:rPr>
          <w:rtl/>
        </w:rPr>
        <w:t xml:space="preserve"> </w:t>
      </w:r>
      <w:r w:rsidRPr="003454CE">
        <w:rPr>
          <w:rFonts w:hint="eastAsia"/>
          <w:rtl/>
        </w:rPr>
        <w:t>או</w:t>
      </w:r>
      <w:r w:rsidRPr="003454CE">
        <w:rPr>
          <w:rtl/>
        </w:rPr>
        <w:t xml:space="preserve"> </w:t>
      </w:r>
      <w:r w:rsidRPr="003454CE">
        <w:rPr>
          <w:rFonts w:hint="eastAsia"/>
          <w:rtl/>
        </w:rPr>
        <w:t>להוסיף</w:t>
      </w:r>
      <w:r w:rsidRPr="003454CE">
        <w:rPr>
          <w:rtl/>
        </w:rPr>
        <w:t xml:space="preserve"> </w:t>
      </w:r>
      <w:r w:rsidRPr="003454CE">
        <w:rPr>
          <w:rFonts w:hint="eastAsia"/>
          <w:rtl/>
        </w:rPr>
        <w:t>בתחום</w:t>
      </w:r>
      <w:r w:rsidRPr="003454CE">
        <w:rPr>
          <w:rtl/>
        </w:rPr>
        <w:t xml:space="preserve"> </w:t>
      </w:r>
      <w:r w:rsidRPr="003454CE">
        <w:rPr>
          <w:rFonts w:hint="eastAsia"/>
          <w:rtl/>
        </w:rPr>
        <w:t>היישוב</w:t>
      </w:r>
      <w:r w:rsidRPr="003454CE">
        <w:rPr>
          <w:rtl/>
        </w:rPr>
        <w:t xml:space="preserve"> </w:t>
      </w:r>
      <w:r w:rsidRPr="003454CE">
        <w:rPr>
          <w:rFonts w:hint="eastAsia"/>
          <w:rtl/>
        </w:rPr>
        <w:t>בהתאם</w:t>
      </w:r>
      <w:r w:rsidRPr="003454CE">
        <w:rPr>
          <w:rtl/>
        </w:rPr>
        <w:t xml:space="preserve"> </w:t>
      </w:r>
      <w:r w:rsidRPr="003454CE">
        <w:rPr>
          <w:rFonts w:hint="eastAsia"/>
          <w:rtl/>
        </w:rPr>
        <w:t>להוראות</w:t>
      </w:r>
      <w:r w:rsidRPr="003454CE">
        <w:rPr>
          <w:rtl/>
        </w:rPr>
        <w:t xml:space="preserve"> </w:t>
      </w:r>
      <w:r w:rsidRPr="003454CE">
        <w:rPr>
          <w:rFonts w:hint="eastAsia"/>
          <w:rtl/>
        </w:rPr>
        <w:t>סעיף</w:t>
      </w:r>
      <w:r w:rsidRPr="003454CE">
        <w:rPr>
          <w:rtl/>
        </w:rPr>
        <w:t xml:space="preserve"> 147(י)(2).</w:t>
      </w:r>
    </w:p>
    <w:p w:rsidR="00161F8B" w:rsidRPr="00EB54E1" w:rsidRDefault="00161F8B" w:rsidP="00945EC8">
      <w:pPr>
        <w:pStyle w:val="Hesber1st"/>
        <w:tabs>
          <w:tab w:val="clear" w:pos="680"/>
        </w:tabs>
        <w:rPr>
          <w:b/>
          <w:bCs/>
          <w:rtl/>
        </w:rPr>
      </w:pPr>
      <w:r w:rsidRPr="00EB54E1">
        <w:rPr>
          <w:rFonts w:hint="eastAsia"/>
          <w:b/>
          <w:bCs/>
          <w:rtl/>
        </w:rPr>
        <w:t>לפסקה</w:t>
      </w:r>
      <w:r w:rsidRPr="00EB54E1">
        <w:rPr>
          <w:b/>
          <w:bCs/>
          <w:rtl/>
        </w:rPr>
        <w:t xml:space="preserve"> (י)(4) </w:t>
      </w:r>
    </w:p>
    <w:p w:rsidR="00161F8B" w:rsidRDefault="001A21B4" w:rsidP="00945EC8">
      <w:pPr>
        <w:pStyle w:val="Hesber1st"/>
        <w:tabs>
          <w:tab w:val="clear" w:pos="680"/>
        </w:tabs>
        <w:rPr>
          <w:rtl/>
        </w:rPr>
      </w:pPr>
      <w:r>
        <w:rPr>
          <w:rFonts w:hint="cs"/>
          <w:rtl/>
        </w:rPr>
        <w:t>בכדי שלא לשנות את תמהיל הבעלויות במגרש,</w:t>
      </w:r>
      <w:r w:rsidR="00F77475">
        <w:rPr>
          <w:rFonts w:hint="cs"/>
          <w:rtl/>
        </w:rPr>
        <w:t xml:space="preserve"> דירות המגורים שיתווספו כתוצאה מהקלה זו יישארו בבעלות בעלי דירת המגורים ממנה פוצלה היחידה הנוספת ויושכרו או ישמשו למגורי קרובים בלבד. </w:t>
      </w:r>
    </w:p>
    <w:p w:rsidR="00F77475" w:rsidRDefault="00F77475" w:rsidP="00945EC8">
      <w:pPr>
        <w:pStyle w:val="Hesber1st"/>
        <w:tabs>
          <w:tab w:val="clear" w:pos="680"/>
        </w:tabs>
        <w:rPr>
          <w:rtl/>
        </w:rPr>
      </w:pPr>
      <w:r w:rsidRPr="00EB54E1">
        <w:rPr>
          <w:rFonts w:hint="eastAsia"/>
          <w:b/>
          <w:bCs/>
          <w:rtl/>
        </w:rPr>
        <w:t>לפסק</w:t>
      </w:r>
      <w:r w:rsidR="00C26477" w:rsidRPr="00EB54E1">
        <w:rPr>
          <w:rFonts w:hint="eastAsia"/>
          <w:b/>
          <w:bCs/>
          <w:rtl/>
        </w:rPr>
        <w:t>אות</w:t>
      </w:r>
      <w:r w:rsidRPr="00EB54E1">
        <w:rPr>
          <w:b/>
          <w:bCs/>
          <w:rtl/>
        </w:rPr>
        <w:t xml:space="preserve"> (י)(5)</w:t>
      </w:r>
      <w:r w:rsidR="00C26477" w:rsidRPr="00EB54E1">
        <w:rPr>
          <w:b/>
          <w:bCs/>
          <w:rtl/>
        </w:rPr>
        <w:t>- (6)</w:t>
      </w:r>
      <w:r>
        <w:rPr>
          <w:rFonts w:hint="cs"/>
          <w:rtl/>
        </w:rPr>
        <w:t xml:space="preserve"> </w:t>
      </w:r>
    </w:p>
    <w:p w:rsidR="00F77475" w:rsidRDefault="00C26477" w:rsidP="001A21B4">
      <w:pPr>
        <w:pStyle w:val="Hesber1st"/>
        <w:tabs>
          <w:tab w:val="clear" w:pos="680"/>
        </w:tabs>
        <w:rPr>
          <w:rtl/>
        </w:rPr>
      </w:pPr>
      <w:r>
        <w:rPr>
          <w:rFonts w:hint="cs"/>
          <w:rtl/>
        </w:rPr>
        <w:t>ממספר דירות המגורים המרבי שניתן להוסיף לפי סעיף קטן זה יש להפחית דירות שנוספו בהקלה לפי סעיף 147 (א) וזאת על מנת לשמור על איזון במספר היחידות הכולל אשר יתווסף באמצעות הקלות אלו למקרקעין. בדומה לכך, כל תוספת יחידות דיור שניתנה לפי סעיף קטן 147(י) תורד מכמות הדירות המרבית שניתן לאשר בהקלה לפי סעיף 147.</w:t>
      </w:r>
    </w:p>
    <w:p w:rsidR="00F77475" w:rsidRPr="00EB54E1" w:rsidRDefault="00F77475" w:rsidP="001A21B4">
      <w:pPr>
        <w:pStyle w:val="Hesber1st"/>
        <w:tabs>
          <w:tab w:val="clear" w:pos="680"/>
        </w:tabs>
        <w:rPr>
          <w:b/>
          <w:bCs/>
          <w:rtl/>
        </w:rPr>
      </w:pPr>
      <w:r w:rsidRPr="00EB54E1">
        <w:rPr>
          <w:rFonts w:hint="eastAsia"/>
          <w:b/>
          <w:bCs/>
          <w:rtl/>
        </w:rPr>
        <w:t>לפסקה</w:t>
      </w:r>
      <w:r w:rsidRPr="00EB54E1">
        <w:rPr>
          <w:b/>
          <w:bCs/>
          <w:rtl/>
        </w:rPr>
        <w:t xml:space="preserve"> (י)(7) </w:t>
      </w:r>
    </w:p>
    <w:p w:rsidR="000017B3" w:rsidRDefault="000017B3" w:rsidP="00B348B4">
      <w:pPr>
        <w:pStyle w:val="Hesber1st"/>
        <w:tabs>
          <w:tab w:val="clear" w:pos="680"/>
        </w:tabs>
        <w:rPr>
          <w:rtl/>
        </w:rPr>
      </w:pPr>
      <w:r>
        <w:rPr>
          <w:rFonts w:hint="cs"/>
          <w:rtl/>
        </w:rPr>
        <w:t xml:space="preserve">ככל ששטח הדירה שתיווסף לפי סעיף קטן זה יהיה פחות מ- 60 מ"ר, </w:t>
      </w:r>
      <w:r w:rsidR="001A21B4">
        <w:rPr>
          <w:rFonts w:hint="cs"/>
          <w:rtl/>
        </w:rPr>
        <w:t xml:space="preserve">כך שמספר הנפשות בדירה הנוספת צפוי להיות קטן, </w:t>
      </w:r>
      <w:r>
        <w:rPr>
          <w:rFonts w:hint="cs"/>
          <w:rtl/>
        </w:rPr>
        <w:t>מתן ההקלה לא תותנה בהוספת מקומות חניה, אבל ניתן יהיה להתנות את מתן ההקלה בהשתתפות הוספת מקום חניה בחניון ציבורי.</w:t>
      </w:r>
    </w:p>
    <w:p w:rsidR="00F77475" w:rsidRPr="00EB54E1" w:rsidRDefault="00F77475" w:rsidP="00B348B4">
      <w:pPr>
        <w:pStyle w:val="Hesber1st"/>
        <w:tabs>
          <w:tab w:val="clear" w:pos="680"/>
        </w:tabs>
        <w:rPr>
          <w:b/>
          <w:bCs/>
          <w:rtl/>
        </w:rPr>
      </w:pPr>
      <w:r w:rsidRPr="00EB54E1">
        <w:rPr>
          <w:rFonts w:hint="eastAsia"/>
          <w:b/>
          <w:bCs/>
          <w:rtl/>
        </w:rPr>
        <w:t>לפסקה</w:t>
      </w:r>
      <w:r w:rsidRPr="00EB54E1">
        <w:rPr>
          <w:b/>
          <w:bCs/>
          <w:rtl/>
        </w:rPr>
        <w:t xml:space="preserve"> (י)(8) </w:t>
      </w:r>
    </w:p>
    <w:p w:rsidR="00F77475" w:rsidRDefault="000017B3" w:rsidP="007D7EB1">
      <w:pPr>
        <w:pStyle w:val="Hesber1st"/>
        <w:tabs>
          <w:tab w:val="clear" w:pos="680"/>
        </w:tabs>
        <w:rPr>
          <w:rtl/>
        </w:rPr>
      </w:pPr>
      <w:r>
        <w:rPr>
          <w:rFonts w:hint="cs"/>
          <w:rtl/>
        </w:rPr>
        <w:t>במסגרת הקלה זו הוועדה תתיר שינוי ייעוד של שטחים שייועדו לשמש כמחסן או שטח שירות לשימוש למטרות מגורים בתנאי שהשטח המרבים שייעודו יושנה לא יעלה על 60 מ"ר ושטח מחסן מתוכו לא יעלה על 7.5 מ"ר.</w:t>
      </w:r>
    </w:p>
    <w:p w:rsidR="00F77475" w:rsidRPr="00EB54E1" w:rsidRDefault="00F77475" w:rsidP="00741367">
      <w:pPr>
        <w:pStyle w:val="Hesber1st"/>
        <w:tabs>
          <w:tab w:val="clear" w:pos="680"/>
        </w:tabs>
        <w:rPr>
          <w:b/>
          <w:bCs/>
          <w:rtl/>
        </w:rPr>
      </w:pPr>
      <w:r w:rsidRPr="00EB54E1">
        <w:rPr>
          <w:rFonts w:hint="eastAsia"/>
          <w:b/>
          <w:bCs/>
          <w:rtl/>
        </w:rPr>
        <w:t>לפסקה</w:t>
      </w:r>
      <w:r w:rsidRPr="00EB54E1">
        <w:rPr>
          <w:b/>
          <w:bCs/>
          <w:rtl/>
        </w:rPr>
        <w:t xml:space="preserve"> (י)(9) </w:t>
      </w:r>
    </w:p>
    <w:p w:rsidR="000017B3" w:rsidRDefault="000017B3" w:rsidP="00F27EF4">
      <w:pPr>
        <w:pStyle w:val="Hesber1st"/>
        <w:tabs>
          <w:tab w:val="clear" w:pos="680"/>
        </w:tabs>
        <w:rPr>
          <w:rtl/>
        </w:rPr>
      </w:pPr>
      <w:r>
        <w:rPr>
          <w:rFonts w:hint="cs"/>
          <w:rtl/>
        </w:rPr>
        <w:t>על מנת שלא להרתיע את בעלי הדירות מלפצל את הדירות מחשש שמא לא יוכלו להחזיר את המצב לקדמותו מוצע לאפשר את החזרת המצב לקדמותו באמצעות הליך של פטור מהיתר בהתאם להנחיות בסעיף 145ג(ב).</w:t>
      </w:r>
    </w:p>
    <w:p w:rsidR="00F77475" w:rsidRDefault="00F77475" w:rsidP="00F27EF4">
      <w:pPr>
        <w:pStyle w:val="Hesber1st"/>
        <w:tabs>
          <w:tab w:val="clear" w:pos="680"/>
        </w:tabs>
        <w:rPr>
          <w:rtl/>
        </w:rPr>
      </w:pPr>
      <w:r w:rsidRPr="00EB54E1">
        <w:rPr>
          <w:rFonts w:hint="eastAsia"/>
          <w:b/>
          <w:bCs/>
          <w:rtl/>
        </w:rPr>
        <w:t>לפסקה</w:t>
      </w:r>
      <w:r w:rsidRPr="00EB54E1">
        <w:rPr>
          <w:b/>
          <w:bCs/>
          <w:rtl/>
        </w:rPr>
        <w:t xml:space="preserve"> (י)(10)</w:t>
      </w:r>
      <w:r>
        <w:rPr>
          <w:rFonts w:hint="cs"/>
          <w:rtl/>
        </w:rPr>
        <w:t xml:space="preserve"> </w:t>
      </w:r>
    </w:p>
    <w:p w:rsidR="00F77475" w:rsidRDefault="000017B3" w:rsidP="000E0FF2">
      <w:pPr>
        <w:pStyle w:val="Hesber1st"/>
        <w:tabs>
          <w:tab w:val="clear" w:pos="680"/>
        </w:tabs>
        <w:rPr>
          <w:rtl/>
        </w:rPr>
      </w:pPr>
      <w:r>
        <w:rPr>
          <w:rFonts w:hint="cs"/>
          <w:rtl/>
        </w:rPr>
        <w:t>על השבחה במקרקעין בשל</w:t>
      </w:r>
      <w:r w:rsidR="00433E22">
        <w:rPr>
          <w:rFonts w:hint="cs"/>
          <w:rtl/>
        </w:rPr>
        <w:t xml:space="preserve"> מתן</w:t>
      </w:r>
      <w:r>
        <w:rPr>
          <w:rFonts w:hint="cs"/>
          <w:rtl/>
        </w:rPr>
        <w:t xml:space="preserve"> הקלה</w:t>
      </w:r>
      <w:r w:rsidR="0008006B">
        <w:rPr>
          <w:rFonts w:hint="cs"/>
          <w:rtl/>
        </w:rPr>
        <w:t xml:space="preserve"> ליצירת יחידת דיור נוספת במגרש</w:t>
      </w:r>
      <w:r>
        <w:rPr>
          <w:rFonts w:hint="cs"/>
          <w:rtl/>
        </w:rPr>
        <w:t xml:space="preserve"> לפי סעיף קטן זה יוטל היטל </w:t>
      </w:r>
      <w:r w:rsidR="00287C7A">
        <w:rPr>
          <w:rFonts w:hint="cs"/>
          <w:rtl/>
        </w:rPr>
        <w:t>השבחה מופחת בשיעור של שלושים וארבעה אחוזים מההשבחה אשר ישולם בחציו בעת קבלת ההיתר ובחציו בעת מימוש הזכות.</w:t>
      </w:r>
      <w:r w:rsidR="00433E22">
        <w:rPr>
          <w:rFonts w:hint="cs"/>
          <w:rtl/>
        </w:rPr>
        <w:t xml:space="preserve"> </w:t>
      </w:r>
      <w:r w:rsidR="0008006B">
        <w:rPr>
          <w:rFonts w:hint="cs"/>
          <w:rtl/>
        </w:rPr>
        <w:t xml:space="preserve">על אף האמור, </w:t>
      </w:r>
      <w:r w:rsidR="00433E22">
        <w:rPr>
          <w:rFonts w:hint="cs"/>
          <w:rtl/>
        </w:rPr>
        <w:t xml:space="preserve">במקרים בהם ההשבחה נוצרה כתוצאה מהקלה המאפשרת תוספת שטחי בניה או מהקלה המאפשרת שינוי ייעוד שטחי מחסן </w:t>
      </w:r>
      <w:r w:rsidR="00287C7A">
        <w:rPr>
          <w:rFonts w:hint="cs"/>
          <w:rtl/>
        </w:rPr>
        <w:t>וכדומה כמפורט בהצעה</w:t>
      </w:r>
      <w:r w:rsidR="00433E22">
        <w:rPr>
          <w:rFonts w:hint="cs"/>
          <w:rtl/>
        </w:rPr>
        <w:t xml:space="preserve">, יחול היטל </w:t>
      </w:r>
      <w:r w:rsidR="00287C7A">
        <w:rPr>
          <w:rFonts w:hint="cs"/>
          <w:rtl/>
        </w:rPr>
        <w:t>מלא</w:t>
      </w:r>
      <w:r w:rsidR="00287C7A" w:rsidRPr="00287C7A">
        <w:rPr>
          <w:rFonts w:hint="cs"/>
          <w:rtl/>
        </w:rPr>
        <w:t xml:space="preserve"> </w:t>
      </w:r>
      <w:r w:rsidR="00287C7A">
        <w:rPr>
          <w:rFonts w:hint="cs"/>
          <w:rtl/>
        </w:rPr>
        <w:t>השבחה מלא בשיעור של 50%.</w:t>
      </w:r>
    </w:p>
    <w:p w:rsidR="00F77475" w:rsidRDefault="00F77475" w:rsidP="000E0FF2">
      <w:pPr>
        <w:pStyle w:val="Hesber1st"/>
        <w:tabs>
          <w:tab w:val="clear" w:pos="680"/>
        </w:tabs>
        <w:rPr>
          <w:rtl/>
        </w:rPr>
      </w:pPr>
      <w:r w:rsidRPr="00EB54E1">
        <w:rPr>
          <w:rFonts w:hint="eastAsia"/>
          <w:b/>
          <w:bCs/>
          <w:rtl/>
        </w:rPr>
        <w:t>לפסקה</w:t>
      </w:r>
      <w:r w:rsidRPr="00EB54E1">
        <w:rPr>
          <w:b/>
          <w:bCs/>
          <w:rtl/>
        </w:rPr>
        <w:t xml:space="preserve"> (י)(11)</w:t>
      </w:r>
      <w:r>
        <w:rPr>
          <w:rFonts w:hint="cs"/>
          <w:rtl/>
        </w:rPr>
        <w:t xml:space="preserve"> </w:t>
      </w:r>
    </w:p>
    <w:p w:rsidR="00F77475" w:rsidRDefault="00433E22" w:rsidP="000E0FF2">
      <w:pPr>
        <w:pStyle w:val="Hesber1st"/>
        <w:tabs>
          <w:tab w:val="clear" w:pos="680"/>
        </w:tabs>
        <w:rPr>
          <w:rtl/>
        </w:rPr>
      </w:pPr>
      <w:r>
        <w:rPr>
          <w:rFonts w:hint="cs"/>
          <w:rtl/>
        </w:rPr>
        <w:t>על מנת לאפשר הוספת דירות רבות ככל האפשר בהליך מהיר ככל האפשר מוצע לקבוע כי לא תידרש הסכמת רשות מקרקעי ישראל וכן לא יידרש תשלום על ידה בגין הקלה לפי סעיף זה.</w:t>
      </w:r>
    </w:p>
    <w:p w:rsidR="00F77475" w:rsidRPr="00EB54E1" w:rsidRDefault="00F77475" w:rsidP="000E0FF2">
      <w:pPr>
        <w:pStyle w:val="Hesber1st"/>
        <w:tabs>
          <w:tab w:val="clear" w:pos="680"/>
        </w:tabs>
        <w:rPr>
          <w:b/>
          <w:bCs/>
          <w:rtl/>
        </w:rPr>
      </w:pPr>
      <w:r w:rsidRPr="00EB54E1">
        <w:rPr>
          <w:rFonts w:hint="eastAsia"/>
          <w:b/>
          <w:bCs/>
          <w:rtl/>
        </w:rPr>
        <w:t>לפסקה</w:t>
      </w:r>
      <w:r w:rsidRPr="00EB54E1">
        <w:rPr>
          <w:b/>
          <w:bCs/>
          <w:rtl/>
        </w:rPr>
        <w:t xml:space="preserve"> (י)(12) </w:t>
      </w:r>
    </w:p>
    <w:p w:rsidR="00F77475" w:rsidRDefault="00433E22" w:rsidP="000E0FF2">
      <w:pPr>
        <w:pStyle w:val="Hesber1st"/>
        <w:tabs>
          <w:tab w:val="clear" w:pos="680"/>
        </w:tabs>
        <w:rPr>
          <w:rtl/>
        </w:rPr>
      </w:pPr>
      <w:r>
        <w:rPr>
          <w:rFonts w:hint="cs"/>
          <w:rtl/>
        </w:rPr>
        <w:t xml:space="preserve">בכדי להימנע ממצב בו בעלי דירות צמודות קרקע, אשר </w:t>
      </w:r>
      <w:r w:rsidR="00AF0D3D">
        <w:rPr>
          <w:rFonts w:hint="cs"/>
          <w:rtl/>
        </w:rPr>
        <w:t xml:space="preserve">אין בדירתם </w:t>
      </w:r>
      <w:r>
        <w:rPr>
          <w:rFonts w:hint="cs"/>
          <w:rtl/>
        </w:rPr>
        <w:t xml:space="preserve">מרחב מוגן יימנעו מפניה למסלול הקלה זה עקב החשש שתוטל עליהם חובה לבנות מרחב מוגן </w:t>
      </w:r>
      <w:r>
        <w:rPr>
          <w:rtl/>
        </w:rPr>
        <w:t>–</w:t>
      </w:r>
      <w:r>
        <w:rPr>
          <w:rFonts w:hint="cs"/>
          <w:rtl/>
        </w:rPr>
        <w:t xml:space="preserve"> מוצע להחריג דירות מגורים שתיווספו לפי הליך זה מהחובה להקמת מרחב מוגן דירתי</w:t>
      </w:r>
      <w:r w:rsidR="00AF0D3D">
        <w:rPr>
          <w:rFonts w:hint="cs"/>
          <w:rtl/>
        </w:rPr>
        <w:t>.</w:t>
      </w:r>
      <w:r>
        <w:rPr>
          <w:rFonts w:hint="cs"/>
          <w:rtl/>
        </w:rPr>
        <w:t xml:space="preserve"> </w:t>
      </w:r>
      <w:r w:rsidR="00AF0D3D">
        <w:rPr>
          <w:rFonts w:hint="cs"/>
          <w:rtl/>
        </w:rPr>
        <w:t xml:space="preserve">חריג לכלל זה יהיו מקרים בהם קיים מרחב מוגן דירתי בדירה שלגביה מבוקשת ההקלה והרשות המוסמכת מצאה לנכון להתנות את מתן ההקלה בשיפור מיגון באחד מחדרי הדירה שמתווספת. </w:t>
      </w:r>
      <w:r>
        <w:rPr>
          <w:rFonts w:hint="cs"/>
          <w:rtl/>
        </w:rPr>
        <w:t xml:space="preserve"> </w:t>
      </w:r>
    </w:p>
    <w:p w:rsidR="00F77475" w:rsidRPr="00EB54E1" w:rsidRDefault="00F77475" w:rsidP="000E0FF2">
      <w:pPr>
        <w:pStyle w:val="Hesber1st"/>
        <w:tabs>
          <w:tab w:val="clear" w:pos="680"/>
        </w:tabs>
        <w:rPr>
          <w:b/>
          <w:bCs/>
          <w:rtl/>
        </w:rPr>
      </w:pPr>
      <w:r w:rsidRPr="00EB54E1">
        <w:rPr>
          <w:rFonts w:hint="eastAsia"/>
          <w:b/>
          <w:bCs/>
          <w:rtl/>
        </w:rPr>
        <w:t>לפסקה</w:t>
      </w:r>
      <w:r w:rsidRPr="00EB54E1">
        <w:rPr>
          <w:b/>
          <w:bCs/>
          <w:rtl/>
        </w:rPr>
        <w:t xml:space="preserve"> (י)(13) </w:t>
      </w:r>
    </w:p>
    <w:p w:rsidR="00131CD2" w:rsidRPr="000E0FF2" w:rsidRDefault="00AF0D3D" w:rsidP="000E0FF2">
      <w:pPr>
        <w:pStyle w:val="Hesber1st"/>
        <w:tabs>
          <w:tab w:val="clear" w:pos="680"/>
        </w:tabs>
        <w:rPr>
          <w:rtl/>
        </w:rPr>
      </w:pPr>
      <w:r>
        <w:rPr>
          <w:rFonts w:hint="cs"/>
          <w:rtl/>
        </w:rPr>
        <w:t>מוצע להחיל את הוראות חוק זה רק על דירות צמודות קרקע אשר אין מעליהן או מתחת</w:t>
      </w:r>
      <w:r w:rsidR="00DF2CB8">
        <w:rPr>
          <w:rFonts w:hint="cs"/>
          <w:rtl/>
        </w:rPr>
        <w:t>יהן דירות נוספות וזאת על מנת</w:t>
      </w:r>
      <w:r>
        <w:rPr>
          <w:rFonts w:hint="cs"/>
          <w:rtl/>
        </w:rPr>
        <w:t xml:space="preserve"> לאפשר </w:t>
      </w:r>
      <w:r w:rsidR="00DF2CB8">
        <w:rPr>
          <w:rFonts w:hint="cs"/>
          <w:rtl/>
        </w:rPr>
        <w:t xml:space="preserve">מתן  </w:t>
      </w:r>
      <w:r>
        <w:rPr>
          <w:rFonts w:hint="cs"/>
          <w:rtl/>
        </w:rPr>
        <w:t>הקלות אשר אין חשש כי ייצרו פגיעה משמעותית בזכויות של בעלי מקרקעין אחרים.</w:t>
      </w:r>
    </w:p>
    <w:p w:rsidR="00F63897" w:rsidRPr="00EB54E1" w:rsidRDefault="00F63897" w:rsidP="000E0FF2">
      <w:pPr>
        <w:pStyle w:val="Hesber1st"/>
        <w:tabs>
          <w:tab w:val="clear" w:pos="680"/>
        </w:tabs>
        <w:rPr>
          <w:b/>
          <w:bCs/>
          <w:rtl/>
        </w:rPr>
      </w:pPr>
      <w:r w:rsidRPr="00EB54E1">
        <w:rPr>
          <w:rFonts w:hint="eastAsia"/>
          <w:b/>
          <w:bCs/>
          <w:rtl/>
        </w:rPr>
        <w:t>לסעיף</w:t>
      </w:r>
      <w:r w:rsidRPr="00EB54E1">
        <w:rPr>
          <w:b/>
          <w:bCs/>
          <w:rtl/>
        </w:rPr>
        <w:t xml:space="preserve"> </w:t>
      </w:r>
      <w:r w:rsidR="000E0FF2" w:rsidRPr="00EB54E1">
        <w:rPr>
          <w:b/>
          <w:bCs/>
          <w:rtl/>
        </w:rPr>
        <w:t>2</w:t>
      </w:r>
      <w:r w:rsidRPr="00EB54E1">
        <w:rPr>
          <w:b/>
          <w:bCs/>
          <w:rtl/>
        </w:rPr>
        <w:t xml:space="preserve"> </w:t>
      </w:r>
    </w:p>
    <w:p w:rsidR="00F63897" w:rsidRDefault="00F63897" w:rsidP="00EB54E1">
      <w:pPr>
        <w:pStyle w:val="Hesber1st"/>
        <w:tabs>
          <w:tab w:val="clear" w:pos="680"/>
        </w:tabs>
        <w:rPr>
          <w:rtl/>
        </w:rPr>
      </w:pPr>
      <w:r>
        <w:rPr>
          <w:rFonts w:hint="cs"/>
          <w:rtl/>
        </w:rPr>
        <w:t xml:space="preserve">על מנת לאפשר בחינת של יעילות </w:t>
      </w:r>
      <w:r w:rsidR="00E30D75">
        <w:rPr>
          <w:rFonts w:hint="cs"/>
          <w:rtl/>
        </w:rPr>
        <w:t>הוראת השעה המוצעת</w:t>
      </w:r>
      <w:r>
        <w:rPr>
          <w:rFonts w:hint="cs"/>
          <w:rtl/>
        </w:rPr>
        <w:t xml:space="preserve"> ו</w:t>
      </w:r>
      <w:r w:rsidR="000E0FF2">
        <w:rPr>
          <w:rFonts w:hint="cs"/>
          <w:rtl/>
        </w:rPr>
        <w:t>אפשרות ל</w:t>
      </w:r>
      <w:r>
        <w:rPr>
          <w:rFonts w:hint="cs"/>
          <w:rtl/>
        </w:rPr>
        <w:t>דיון מושכל בהשפעותיו בעתיד מוצע לקבוע חובות דיווח כמפורט בהצעת החוק.</w:t>
      </w:r>
    </w:p>
    <w:p w:rsidR="00E21DCA" w:rsidRDefault="00E21DCA" w:rsidP="00C525E1">
      <w:pPr>
        <w:pStyle w:val="Hesber"/>
        <w:ind w:firstLine="0"/>
        <w:rPr>
          <w:rFonts w:ascii="David" w:hAnsi="David"/>
          <w:sz w:val="26"/>
          <w:rtl/>
        </w:rPr>
      </w:pPr>
    </w:p>
    <w:sectPr w:rsidR="00E21DCA" w:rsidSect="002311A7">
      <w:footerReference w:type="even" r:id="rId9"/>
      <w:footerReference w:type="default" r:id="rId10"/>
      <w:pgSz w:w="11907" w:h="16840" w:code="9"/>
      <w:pgMar w:top="1701" w:right="1134" w:bottom="1417" w:left="1134" w:header="680" w:footer="680" w:gutter="0"/>
      <w:cols w:space="720"/>
      <w:noEndnote/>
      <w:bidi/>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706" w:rsidRDefault="00563706" w:rsidP="007C1DC6">
      <w:r>
        <w:separator/>
      </w:r>
    </w:p>
    <w:p w:rsidR="00563706" w:rsidRDefault="00563706"/>
  </w:endnote>
  <w:endnote w:type="continuationSeparator" w:id="0">
    <w:p w:rsidR="00563706" w:rsidRDefault="00563706" w:rsidP="007C1DC6">
      <w:r>
        <w:continuationSeparator/>
      </w:r>
    </w:p>
    <w:p w:rsidR="00563706" w:rsidRDefault="00563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FBB" w:rsidRDefault="00B75FBB" w:rsidP="007C1DC6">
    <w:pPr>
      <w:pStyle w:val="a8"/>
      <w:rPr>
        <w:rStyle w:val="aa"/>
      </w:rPr>
    </w:pPr>
    <w:r>
      <w:rPr>
        <w:rStyle w:val="aa"/>
        <w:rtl/>
      </w:rPr>
      <w:fldChar w:fldCharType="begin"/>
    </w:r>
    <w:r>
      <w:rPr>
        <w:rStyle w:val="aa"/>
      </w:rPr>
      <w:instrText xml:space="preserve">PAGE  </w:instrText>
    </w:r>
    <w:r>
      <w:rPr>
        <w:rStyle w:val="aa"/>
        <w:rtl/>
      </w:rPr>
      <w:fldChar w:fldCharType="end"/>
    </w:r>
  </w:p>
  <w:p w:rsidR="00B75FBB" w:rsidRDefault="00B75FBB" w:rsidP="007C1DC6">
    <w:pPr>
      <w:pStyle w:val="a8"/>
    </w:pPr>
  </w:p>
  <w:p w:rsidR="00B75FBB" w:rsidRDefault="00B75FB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19611505"/>
      <w:docPartObj>
        <w:docPartGallery w:val="Page Numbers (Bottom of Page)"/>
        <w:docPartUnique/>
      </w:docPartObj>
    </w:sdtPr>
    <w:sdtEndPr/>
    <w:sdtContent>
      <w:p w:rsidR="00B75FBB" w:rsidRDefault="00B75FBB">
        <w:pPr>
          <w:pStyle w:val="a8"/>
          <w:jc w:val="center"/>
        </w:pPr>
        <w:r>
          <w:fldChar w:fldCharType="begin"/>
        </w:r>
        <w:r>
          <w:instrText>PAGE   \* MERGEFORMAT</w:instrText>
        </w:r>
        <w:r>
          <w:fldChar w:fldCharType="separate"/>
        </w:r>
        <w:r w:rsidR="00EB54E1" w:rsidRPr="00EB54E1">
          <w:rPr>
            <w:noProof/>
            <w:rtl/>
            <w:lang w:val="he-IL"/>
          </w:rPr>
          <w:t>2</w:t>
        </w:r>
        <w:r>
          <w:fldChar w:fldCharType="end"/>
        </w:r>
      </w:p>
    </w:sdtContent>
  </w:sdt>
  <w:p w:rsidR="00B75FBB" w:rsidRDefault="00B75FBB" w:rsidP="00FD2DF1">
    <w:pPr>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706" w:rsidRDefault="00563706" w:rsidP="00610A3C">
      <w:pPr>
        <w:spacing w:line="240" w:lineRule="auto"/>
        <w:ind w:left="0"/>
      </w:pPr>
      <w:r>
        <w:separator/>
      </w:r>
    </w:p>
  </w:footnote>
  <w:footnote w:type="continuationSeparator" w:id="0">
    <w:p w:rsidR="00563706" w:rsidRDefault="00563706" w:rsidP="007C1DC6">
      <w:r>
        <w:continuationSeparator/>
      </w:r>
    </w:p>
    <w:p w:rsidR="00563706" w:rsidRDefault="00563706"/>
  </w:footnote>
  <w:footnote w:type="continuationNotice" w:id="1">
    <w:p w:rsidR="00563706" w:rsidRDefault="00563706" w:rsidP="007C1DC6"/>
    <w:p w:rsidR="00563706" w:rsidRDefault="00563706"/>
  </w:footnote>
  <w:footnote w:id="2">
    <w:p w:rsidR="00B75FBB" w:rsidRDefault="00B75FBB">
      <w:pPr>
        <w:pStyle w:val="a4"/>
      </w:pPr>
      <w:r>
        <w:rPr>
          <w:rStyle w:val="a5"/>
        </w:rPr>
        <w:footnoteRef/>
      </w:r>
      <w:r>
        <w:rPr>
          <w:rtl/>
        </w:rPr>
        <w:t xml:space="preserve"> </w:t>
      </w:r>
      <w:r>
        <w:rPr>
          <w:rFonts w:hint="cs"/>
          <w:rtl/>
        </w:rPr>
        <w:t xml:space="preserve">ס"ח התשכ"ה עמ' .307 </w:t>
      </w:r>
    </w:p>
  </w:footnote>
  <w:footnote w:id="3">
    <w:p w:rsidR="00B75FBB" w:rsidRDefault="00B75FBB" w:rsidP="0008006B">
      <w:pPr>
        <w:pStyle w:val="a4"/>
        <w:rPr>
          <w:rtl/>
        </w:rPr>
      </w:pPr>
      <w:r>
        <w:rPr>
          <w:rStyle w:val="a5"/>
        </w:rPr>
        <w:footnoteRef/>
      </w:r>
      <w:r>
        <w:rPr>
          <w:rtl/>
        </w:rPr>
        <w:t xml:space="preserve"> </w:t>
      </w:r>
      <w:r w:rsidR="0008006B">
        <w:rPr>
          <w:rFonts w:hint="cs"/>
          <w:rtl/>
        </w:rPr>
        <w:t xml:space="preserve"> ס"ח תשי"א מס' 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9F7AAE"/>
    <w:multiLevelType w:val="hybridMultilevel"/>
    <w:tmpl w:val="88128F42"/>
    <w:lvl w:ilvl="0" w:tplc="DBBA00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C8525F"/>
    <w:multiLevelType w:val="hybridMultilevel"/>
    <w:tmpl w:val="97E47F72"/>
    <w:lvl w:ilvl="0" w:tplc="D40ED3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7C709F"/>
    <w:multiLevelType w:val="hybridMultilevel"/>
    <w:tmpl w:val="C6727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D10232E"/>
    <w:multiLevelType w:val="hybridMultilevel"/>
    <w:tmpl w:val="6BD68318"/>
    <w:lvl w:ilvl="0" w:tplc="1CD2F6C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1E165B6"/>
    <w:multiLevelType w:val="hybridMultilevel"/>
    <w:tmpl w:val="9C60750E"/>
    <w:lvl w:ilvl="0" w:tplc="48B0F6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796ABD"/>
    <w:multiLevelType w:val="hybridMultilevel"/>
    <w:tmpl w:val="6CF2F0B0"/>
    <w:lvl w:ilvl="0" w:tplc="E50C84E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280895"/>
    <w:multiLevelType w:val="hybridMultilevel"/>
    <w:tmpl w:val="FF9EFF6E"/>
    <w:lvl w:ilvl="0" w:tplc="F072E8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2202E2"/>
    <w:multiLevelType w:val="hybridMultilevel"/>
    <w:tmpl w:val="71182BE0"/>
    <w:lvl w:ilvl="0" w:tplc="6C66EF72">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15:restartNumberingAfterBreak="0">
    <w:nsid w:val="30CA7463"/>
    <w:multiLevelType w:val="hybridMultilevel"/>
    <w:tmpl w:val="084A3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9C50D3"/>
    <w:multiLevelType w:val="hybridMultilevel"/>
    <w:tmpl w:val="F95CE2C2"/>
    <w:lvl w:ilvl="0" w:tplc="18BC4D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8B0C61"/>
    <w:multiLevelType w:val="hybridMultilevel"/>
    <w:tmpl w:val="83363260"/>
    <w:lvl w:ilvl="0" w:tplc="66CAEC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52519C"/>
    <w:multiLevelType w:val="hybridMultilevel"/>
    <w:tmpl w:val="9D30D446"/>
    <w:lvl w:ilvl="0" w:tplc="7F4606C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1539FE"/>
    <w:multiLevelType w:val="hybridMultilevel"/>
    <w:tmpl w:val="76A87B4E"/>
    <w:lvl w:ilvl="0" w:tplc="6108E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7C1E85"/>
    <w:multiLevelType w:val="hybridMultilevel"/>
    <w:tmpl w:val="2518920C"/>
    <w:lvl w:ilvl="0" w:tplc="4A0E6A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B4F16"/>
    <w:multiLevelType w:val="hybridMultilevel"/>
    <w:tmpl w:val="D3645944"/>
    <w:lvl w:ilvl="0" w:tplc="E5A22B3A">
      <w:start w:val="1"/>
      <w:numFmt w:val="hebrew1"/>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FC304DD"/>
    <w:multiLevelType w:val="hybridMultilevel"/>
    <w:tmpl w:val="3AA4206A"/>
    <w:lvl w:ilvl="0" w:tplc="5842344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5CE6E1B"/>
    <w:multiLevelType w:val="hybridMultilevel"/>
    <w:tmpl w:val="92D8F7D6"/>
    <w:lvl w:ilvl="0" w:tplc="F646A1B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624A48"/>
    <w:multiLevelType w:val="hybridMultilevel"/>
    <w:tmpl w:val="93C46198"/>
    <w:lvl w:ilvl="0" w:tplc="9D32FF2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147DB7"/>
    <w:multiLevelType w:val="hybridMultilevel"/>
    <w:tmpl w:val="572A5A7E"/>
    <w:lvl w:ilvl="0" w:tplc="9AA668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16"/>
  </w:num>
  <w:num w:numId="5">
    <w:abstractNumId w:val="30"/>
  </w:num>
  <w:num w:numId="6">
    <w:abstractNumId w:val="24"/>
  </w:num>
  <w:num w:numId="7">
    <w:abstractNumId w:val="26"/>
  </w:num>
  <w:num w:numId="8">
    <w:abstractNumId w:val="29"/>
  </w:num>
  <w:num w:numId="9">
    <w:abstractNumId w:val="15"/>
  </w:num>
  <w:num w:numId="10">
    <w:abstractNumId w:val="33"/>
  </w:num>
  <w:num w:numId="11">
    <w:abstractNumId w:val="17"/>
  </w:num>
  <w:num w:numId="12">
    <w:abstractNumId w:val="11"/>
  </w:num>
  <w:num w:numId="13">
    <w:abstractNumId w:val="18"/>
  </w:num>
  <w:num w:numId="14">
    <w:abstractNumId w:val="10"/>
  </w:num>
  <w:num w:numId="15">
    <w:abstractNumId w:val="32"/>
  </w:num>
  <w:num w:numId="16">
    <w:abstractNumId w:val="31"/>
  </w:num>
  <w:num w:numId="17">
    <w:abstractNumId w:val="21"/>
  </w:num>
  <w:num w:numId="18">
    <w:abstractNumId w:val="0"/>
  </w:num>
  <w:num w:numId="19">
    <w:abstractNumId w:val="14"/>
  </w:num>
  <w:num w:numId="20">
    <w:abstractNumId w:val="34"/>
  </w:num>
  <w:num w:numId="21">
    <w:abstractNumId w:val="8"/>
  </w:num>
  <w:num w:numId="22">
    <w:abstractNumId w:val="3"/>
  </w:num>
  <w:num w:numId="23">
    <w:abstractNumId w:val="2"/>
  </w:num>
  <w:num w:numId="24">
    <w:abstractNumId w:val="1"/>
  </w:num>
  <w:num w:numId="25">
    <w:abstractNumId w:val="9"/>
  </w:num>
  <w:num w:numId="26">
    <w:abstractNumId w:val="7"/>
  </w:num>
  <w:num w:numId="27">
    <w:abstractNumId w:val="6"/>
  </w:num>
  <w:num w:numId="28">
    <w:abstractNumId w:val="5"/>
  </w:num>
  <w:num w:numId="29">
    <w:abstractNumId w:val="4"/>
  </w:num>
  <w:num w:numId="30">
    <w:abstractNumId w:val="27"/>
  </w:num>
  <w:num w:numId="31">
    <w:abstractNumId w:val="27"/>
    <w:lvlOverride w:ilvl="0">
      <w:startOverride w:val="1"/>
    </w:lvlOverride>
  </w:num>
  <w:num w:numId="32">
    <w:abstractNumId w:val="13"/>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20"/>
  </w:num>
  <w:num w:numId="36">
    <w:abstractNumId w:val="25"/>
  </w:num>
  <w:num w:numId="37">
    <w:abstractNumId w:val="12"/>
  </w:num>
  <w:num w:numId="38">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1F5"/>
    <w:rsid w:val="00001778"/>
    <w:rsid w:val="000017B3"/>
    <w:rsid w:val="000028FB"/>
    <w:rsid w:val="000071AD"/>
    <w:rsid w:val="00007FB0"/>
    <w:rsid w:val="000103BD"/>
    <w:rsid w:val="0001040A"/>
    <w:rsid w:val="00010950"/>
    <w:rsid w:val="00011197"/>
    <w:rsid w:val="00011BA0"/>
    <w:rsid w:val="00011C4D"/>
    <w:rsid w:val="0001316D"/>
    <w:rsid w:val="0001348E"/>
    <w:rsid w:val="00013A0F"/>
    <w:rsid w:val="00013B3E"/>
    <w:rsid w:val="0001417F"/>
    <w:rsid w:val="00014599"/>
    <w:rsid w:val="00014D8E"/>
    <w:rsid w:val="00016A36"/>
    <w:rsid w:val="00017523"/>
    <w:rsid w:val="00017BED"/>
    <w:rsid w:val="0002029C"/>
    <w:rsid w:val="0002100A"/>
    <w:rsid w:val="0002288D"/>
    <w:rsid w:val="000263FD"/>
    <w:rsid w:val="0002666C"/>
    <w:rsid w:val="00026B37"/>
    <w:rsid w:val="00027317"/>
    <w:rsid w:val="00027C50"/>
    <w:rsid w:val="000322E6"/>
    <w:rsid w:val="0003252C"/>
    <w:rsid w:val="00032546"/>
    <w:rsid w:val="0003612C"/>
    <w:rsid w:val="00036291"/>
    <w:rsid w:val="0003672B"/>
    <w:rsid w:val="000405F6"/>
    <w:rsid w:val="000423FC"/>
    <w:rsid w:val="00042CF7"/>
    <w:rsid w:val="00043CE4"/>
    <w:rsid w:val="00045B1D"/>
    <w:rsid w:val="00045F33"/>
    <w:rsid w:val="000471EA"/>
    <w:rsid w:val="00047392"/>
    <w:rsid w:val="0005104C"/>
    <w:rsid w:val="000523A1"/>
    <w:rsid w:val="000528ED"/>
    <w:rsid w:val="000529D3"/>
    <w:rsid w:val="0005301D"/>
    <w:rsid w:val="0005382C"/>
    <w:rsid w:val="00053D42"/>
    <w:rsid w:val="00055280"/>
    <w:rsid w:val="000561C9"/>
    <w:rsid w:val="00061210"/>
    <w:rsid w:val="000618AF"/>
    <w:rsid w:val="000634F7"/>
    <w:rsid w:val="0006480B"/>
    <w:rsid w:val="000648C8"/>
    <w:rsid w:val="000664A4"/>
    <w:rsid w:val="000670FE"/>
    <w:rsid w:val="00070BCE"/>
    <w:rsid w:val="00070C0C"/>
    <w:rsid w:val="0007147F"/>
    <w:rsid w:val="00071926"/>
    <w:rsid w:val="0007387A"/>
    <w:rsid w:val="000746D5"/>
    <w:rsid w:val="00074CB4"/>
    <w:rsid w:val="000758E9"/>
    <w:rsid w:val="0007639B"/>
    <w:rsid w:val="00077226"/>
    <w:rsid w:val="0008006B"/>
    <w:rsid w:val="000802CF"/>
    <w:rsid w:val="00080B43"/>
    <w:rsid w:val="000814F7"/>
    <w:rsid w:val="00082E87"/>
    <w:rsid w:val="00083D1B"/>
    <w:rsid w:val="00084A3D"/>
    <w:rsid w:val="000858FF"/>
    <w:rsid w:val="00085C6D"/>
    <w:rsid w:val="00086328"/>
    <w:rsid w:val="00086CAE"/>
    <w:rsid w:val="0009030C"/>
    <w:rsid w:val="000909C9"/>
    <w:rsid w:val="00091D57"/>
    <w:rsid w:val="0009288A"/>
    <w:rsid w:val="00092990"/>
    <w:rsid w:val="00095FC4"/>
    <w:rsid w:val="00096482"/>
    <w:rsid w:val="00097886"/>
    <w:rsid w:val="000A061B"/>
    <w:rsid w:val="000A0D67"/>
    <w:rsid w:val="000A1571"/>
    <w:rsid w:val="000A1C02"/>
    <w:rsid w:val="000A240C"/>
    <w:rsid w:val="000A2810"/>
    <w:rsid w:val="000A4068"/>
    <w:rsid w:val="000A4386"/>
    <w:rsid w:val="000A44A7"/>
    <w:rsid w:val="000A6954"/>
    <w:rsid w:val="000A6ABA"/>
    <w:rsid w:val="000A7960"/>
    <w:rsid w:val="000B118D"/>
    <w:rsid w:val="000B1250"/>
    <w:rsid w:val="000B1971"/>
    <w:rsid w:val="000B22A3"/>
    <w:rsid w:val="000B23FC"/>
    <w:rsid w:val="000B2BB1"/>
    <w:rsid w:val="000B36B9"/>
    <w:rsid w:val="000B3A0B"/>
    <w:rsid w:val="000B4317"/>
    <w:rsid w:val="000B576C"/>
    <w:rsid w:val="000B7566"/>
    <w:rsid w:val="000C0610"/>
    <w:rsid w:val="000C0DC8"/>
    <w:rsid w:val="000C1557"/>
    <w:rsid w:val="000C172B"/>
    <w:rsid w:val="000C198A"/>
    <w:rsid w:val="000C1C89"/>
    <w:rsid w:val="000C1DA4"/>
    <w:rsid w:val="000C1EA4"/>
    <w:rsid w:val="000C20B6"/>
    <w:rsid w:val="000C2149"/>
    <w:rsid w:val="000C2C85"/>
    <w:rsid w:val="000C2CDC"/>
    <w:rsid w:val="000C3F40"/>
    <w:rsid w:val="000C4997"/>
    <w:rsid w:val="000C549E"/>
    <w:rsid w:val="000C5747"/>
    <w:rsid w:val="000C65F2"/>
    <w:rsid w:val="000C6A6D"/>
    <w:rsid w:val="000C72C2"/>
    <w:rsid w:val="000C7865"/>
    <w:rsid w:val="000D0DA1"/>
    <w:rsid w:val="000D0E67"/>
    <w:rsid w:val="000D283F"/>
    <w:rsid w:val="000D2C98"/>
    <w:rsid w:val="000D3CAA"/>
    <w:rsid w:val="000D3E44"/>
    <w:rsid w:val="000D3E90"/>
    <w:rsid w:val="000D5278"/>
    <w:rsid w:val="000D6F9B"/>
    <w:rsid w:val="000D71B7"/>
    <w:rsid w:val="000D744E"/>
    <w:rsid w:val="000E0149"/>
    <w:rsid w:val="000E074E"/>
    <w:rsid w:val="000E0FF2"/>
    <w:rsid w:val="000E26D7"/>
    <w:rsid w:val="000E2A3D"/>
    <w:rsid w:val="000E2AF8"/>
    <w:rsid w:val="000E304D"/>
    <w:rsid w:val="000E3A35"/>
    <w:rsid w:val="000E3F06"/>
    <w:rsid w:val="000E459F"/>
    <w:rsid w:val="000E60DC"/>
    <w:rsid w:val="000E6CC1"/>
    <w:rsid w:val="000E6E31"/>
    <w:rsid w:val="000E7006"/>
    <w:rsid w:val="000F0029"/>
    <w:rsid w:val="000F0806"/>
    <w:rsid w:val="000F0CD4"/>
    <w:rsid w:val="000F0DEA"/>
    <w:rsid w:val="000F16C7"/>
    <w:rsid w:val="000F2779"/>
    <w:rsid w:val="000F2AD1"/>
    <w:rsid w:val="000F3046"/>
    <w:rsid w:val="000F3082"/>
    <w:rsid w:val="000F3EAD"/>
    <w:rsid w:val="000F446D"/>
    <w:rsid w:val="000F5CF2"/>
    <w:rsid w:val="000F69BC"/>
    <w:rsid w:val="000F7465"/>
    <w:rsid w:val="000F7ABD"/>
    <w:rsid w:val="000F7CFF"/>
    <w:rsid w:val="000F7E71"/>
    <w:rsid w:val="001020FA"/>
    <w:rsid w:val="001021E6"/>
    <w:rsid w:val="00102970"/>
    <w:rsid w:val="00103881"/>
    <w:rsid w:val="00103DA2"/>
    <w:rsid w:val="00106721"/>
    <w:rsid w:val="001105A8"/>
    <w:rsid w:val="00110CBE"/>
    <w:rsid w:val="00110D44"/>
    <w:rsid w:val="0011168C"/>
    <w:rsid w:val="00112195"/>
    <w:rsid w:val="00112656"/>
    <w:rsid w:val="00112C54"/>
    <w:rsid w:val="001130B7"/>
    <w:rsid w:val="00113CC3"/>
    <w:rsid w:val="0011478C"/>
    <w:rsid w:val="0011515F"/>
    <w:rsid w:val="00117DAE"/>
    <w:rsid w:val="00120C90"/>
    <w:rsid w:val="00121102"/>
    <w:rsid w:val="001213D6"/>
    <w:rsid w:val="00121961"/>
    <w:rsid w:val="00126FA6"/>
    <w:rsid w:val="001275E4"/>
    <w:rsid w:val="00130431"/>
    <w:rsid w:val="00131CD2"/>
    <w:rsid w:val="00131E58"/>
    <w:rsid w:val="00134353"/>
    <w:rsid w:val="0013482C"/>
    <w:rsid w:val="001352DA"/>
    <w:rsid w:val="00135443"/>
    <w:rsid w:val="001369BC"/>
    <w:rsid w:val="00137105"/>
    <w:rsid w:val="0013745B"/>
    <w:rsid w:val="0013761D"/>
    <w:rsid w:val="00137CF2"/>
    <w:rsid w:val="001408B3"/>
    <w:rsid w:val="00142D93"/>
    <w:rsid w:val="00142DAC"/>
    <w:rsid w:val="001436D3"/>
    <w:rsid w:val="001436FC"/>
    <w:rsid w:val="0014460F"/>
    <w:rsid w:val="00145F0A"/>
    <w:rsid w:val="001470A1"/>
    <w:rsid w:val="00147CAE"/>
    <w:rsid w:val="00147FC4"/>
    <w:rsid w:val="00152061"/>
    <w:rsid w:val="0015290F"/>
    <w:rsid w:val="00154264"/>
    <w:rsid w:val="0015526A"/>
    <w:rsid w:val="00156132"/>
    <w:rsid w:val="00157888"/>
    <w:rsid w:val="0016052C"/>
    <w:rsid w:val="001606C9"/>
    <w:rsid w:val="00160DAE"/>
    <w:rsid w:val="0016126C"/>
    <w:rsid w:val="00161837"/>
    <w:rsid w:val="00161F8B"/>
    <w:rsid w:val="00162B97"/>
    <w:rsid w:val="00165F2D"/>
    <w:rsid w:val="00171BEF"/>
    <w:rsid w:val="00171E15"/>
    <w:rsid w:val="00172AE4"/>
    <w:rsid w:val="00174114"/>
    <w:rsid w:val="00174D44"/>
    <w:rsid w:val="00174E7F"/>
    <w:rsid w:val="001753B1"/>
    <w:rsid w:val="0017575F"/>
    <w:rsid w:val="00175A5C"/>
    <w:rsid w:val="001766CC"/>
    <w:rsid w:val="00177E9A"/>
    <w:rsid w:val="00181256"/>
    <w:rsid w:val="00181A1B"/>
    <w:rsid w:val="00182A20"/>
    <w:rsid w:val="00182E30"/>
    <w:rsid w:val="00182F85"/>
    <w:rsid w:val="00183146"/>
    <w:rsid w:val="0018406D"/>
    <w:rsid w:val="001907EC"/>
    <w:rsid w:val="001924A4"/>
    <w:rsid w:val="00193217"/>
    <w:rsid w:val="00193D1C"/>
    <w:rsid w:val="00194018"/>
    <w:rsid w:val="001946EF"/>
    <w:rsid w:val="00194CA3"/>
    <w:rsid w:val="00194F6C"/>
    <w:rsid w:val="00195F5A"/>
    <w:rsid w:val="001960F7"/>
    <w:rsid w:val="0019673E"/>
    <w:rsid w:val="0019674A"/>
    <w:rsid w:val="001A21B4"/>
    <w:rsid w:val="001A28D6"/>
    <w:rsid w:val="001A68A0"/>
    <w:rsid w:val="001A6D44"/>
    <w:rsid w:val="001A7A53"/>
    <w:rsid w:val="001B03A0"/>
    <w:rsid w:val="001B047A"/>
    <w:rsid w:val="001B1478"/>
    <w:rsid w:val="001B1A1C"/>
    <w:rsid w:val="001B2473"/>
    <w:rsid w:val="001B2C0D"/>
    <w:rsid w:val="001B3050"/>
    <w:rsid w:val="001B320D"/>
    <w:rsid w:val="001B3458"/>
    <w:rsid w:val="001B4F97"/>
    <w:rsid w:val="001B5A8E"/>
    <w:rsid w:val="001B5EAE"/>
    <w:rsid w:val="001B5EDA"/>
    <w:rsid w:val="001B6670"/>
    <w:rsid w:val="001B6735"/>
    <w:rsid w:val="001B7CE6"/>
    <w:rsid w:val="001C0C7C"/>
    <w:rsid w:val="001C27C0"/>
    <w:rsid w:val="001C417E"/>
    <w:rsid w:val="001C5094"/>
    <w:rsid w:val="001C56A1"/>
    <w:rsid w:val="001C701D"/>
    <w:rsid w:val="001C7743"/>
    <w:rsid w:val="001C78D5"/>
    <w:rsid w:val="001D0BC0"/>
    <w:rsid w:val="001D1B31"/>
    <w:rsid w:val="001D1E36"/>
    <w:rsid w:val="001D22DB"/>
    <w:rsid w:val="001D2AA9"/>
    <w:rsid w:val="001D37D2"/>
    <w:rsid w:val="001D3DF4"/>
    <w:rsid w:val="001D4609"/>
    <w:rsid w:val="001D4A1C"/>
    <w:rsid w:val="001D4CA5"/>
    <w:rsid w:val="001D549B"/>
    <w:rsid w:val="001D5E31"/>
    <w:rsid w:val="001D6CAB"/>
    <w:rsid w:val="001D7024"/>
    <w:rsid w:val="001D70F3"/>
    <w:rsid w:val="001D7BC8"/>
    <w:rsid w:val="001D7CBA"/>
    <w:rsid w:val="001D7CC0"/>
    <w:rsid w:val="001D7CD9"/>
    <w:rsid w:val="001D7EF3"/>
    <w:rsid w:val="001E2DD0"/>
    <w:rsid w:val="001E390B"/>
    <w:rsid w:val="001E3AD7"/>
    <w:rsid w:val="001E48BB"/>
    <w:rsid w:val="001E61B7"/>
    <w:rsid w:val="001E701E"/>
    <w:rsid w:val="001E73F2"/>
    <w:rsid w:val="001E7C1D"/>
    <w:rsid w:val="001F02C0"/>
    <w:rsid w:val="001F03B3"/>
    <w:rsid w:val="001F1F97"/>
    <w:rsid w:val="001F2259"/>
    <w:rsid w:val="001F2B79"/>
    <w:rsid w:val="001F5272"/>
    <w:rsid w:val="001F58D5"/>
    <w:rsid w:val="001F58DE"/>
    <w:rsid w:val="001F5F70"/>
    <w:rsid w:val="001F6399"/>
    <w:rsid w:val="001F660A"/>
    <w:rsid w:val="001F6FD7"/>
    <w:rsid w:val="001F7082"/>
    <w:rsid w:val="001F7A31"/>
    <w:rsid w:val="00200906"/>
    <w:rsid w:val="002017B4"/>
    <w:rsid w:val="002022F1"/>
    <w:rsid w:val="0020326A"/>
    <w:rsid w:val="002037BF"/>
    <w:rsid w:val="0020494D"/>
    <w:rsid w:val="00204FFD"/>
    <w:rsid w:val="0020517B"/>
    <w:rsid w:val="002053E3"/>
    <w:rsid w:val="00206093"/>
    <w:rsid w:val="0020629D"/>
    <w:rsid w:val="0020696F"/>
    <w:rsid w:val="00207123"/>
    <w:rsid w:val="00207FA0"/>
    <w:rsid w:val="00211D6D"/>
    <w:rsid w:val="00214E95"/>
    <w:rsid w:val="00216106"/>
    <w:rsid w:val="00216CBA"/>
    <w:rsid w:val="00217AB3"/>
    <w:rsid w:val="0022037D"/>
    <w:rsid w:val="00220624"/>
    <w:rsid w:val="00220BF5"/>
    <w:rsid w:val="002213BB"/>
    <w:rsid w:val="00221644"/>
    <w:rsid w:val="002216E3"/>
    <w:rsid w:val="0022355D"/>
    <w:rsid w:val="002245FA"/>
    <w:rsid w:val="00224658"/>
    <w:rsid w:val="00224B34"/>
    <w:rsid w:val="00224C64"/>
    <w:rsid w:val="00225F2C"/>
    <w:rsid w:val="0022680B"/>
    <w:rsid w:val="00226AA4"/>
    <w:rsid w:val="00230430"/>
    <w:rsid w:val="0023087A"/>
    <w:rsid w:val="002311A7"/>
    <w:rsid w:val="0023214F"/>
    <w:rsid w:val="00232CD9"/>
    <w:rsid w:val="00232E6F"/>
    <w:rsid w:val="00233DFB"/>
    <w:rsid w:val="002345C9"/>
    <w:rsid w:val="0023499F"/>
    <w:rsid w:val="00234FED"/>
    <w:rsid w:val="00236CCE"/>
    <w:rsid w:val="0024020C"/>
    <w:rsid w:val="0024226D"/>
    <w:rsid w:val="002446D1"/>
    <w:rsid w:val="00244997"/>
    <w:rsid w:val="00244D91"/>
    <w:rsid w:val="00245CE3"/>
    <w:rsid w:val="00250D90"/>
    <w:rsid w:val="00251EB2"/>
    <w:rsid w:val="002521F3"/>
    <w:rsid w:val="002525DB"/>
    <w:rsid w:val="00254A2E"/>
    <w:rsid w:val="00254D2E"/>
    <w:rsid w:val="00255C43"/>
    <w:rsid w:val="00255CC5"/>
    <w:rsid w:val="00256C6A"/>
    <w:rsid w:val="00257307"/>
    <w:rsid w:val="0025732F"/>
    <w:rsid w:val="00261D3C"/>
    <w:rsid w:val="00262D26"/>
    <w:rsid w:val="00262DC0"/>
    <w:rsid w:val="002631D3"/>
    <w:rsid w:val="00263F03"/>
    <w:rsid w:val="00264F21"/>
    <w:rsid w:val="00264F7B"/>
    <w:rsid w:val="00265EF5"/>
    <w:rsid w:val="002660C1"/>
    <w:rsid w:val="0026626B"/>
    <w:rsid w:val="002676E4"/>
    <w:rsid w:val="00267869"/>
    <w:rsid w:val="00270E32"/>
    <w:rsid w:val="00270EBD"/>
    <w:rsid w:val="00271F33"/>
    <w:rsid w:val="00273422"/>
    <w:rsid w:val="00276624"/>
    <w:rsid w:val="002775AC"/>
    <w:rsid w:val="002778E5"/>
    <w:rsid w:val="0028108D"/>
    <w:rsid w:val="00281236"/>
    <w:rsid w:val="002814D5"/>
    <w:rsid w:val="00283474"/>
    <w:rsid w:val="002862E7"/>
    <w:rsid w:val="00287C7A"/>
    <w:rsid w:val="0029060C"/>
    <w:rsid w:val="00290DF8"/>
    <w:rsid w:val="002941D0"/>
    <w:rsid w:val="002943E4"/>
    <w:rsid w:val="00294411"/>
    <w:rsid w:val="00294C8B"/>
    <w:rsid w:val="0029611C"/>
    <w:rsid w:val="00296EED"/>
    <w:rsid w:val="002975E2"/>
    <w:rsid w:val="002A0790"/>
    <w:rsid w:val="002A1526"/>
    <w:rsid w:val="002A1678"/>
    <w:rsid w:val="002A1B44"/>
    <w:rsid w:val="002A21E7"/>
    <w:rsid w:val="002A4885"/>
    <w:rsid w:val="002A4E6B"/>
    <w:rsid w:val="002A5266"/>
    <w:rsid w:val="002A5A59"/>
    <w:rsid w:val="002A669D"/>
    <w:rsid w:val="002A6AD0"/>
    <w:rsid w:val="002A778F"/>
    <w:rsid w:val="002B3525"/>
    <w:rsid w:val="002B51D1"/>
    <w:rsid w:val="002B537C"/>
    <w:rsid w:val="002B59DA"/>
    <w:rsid w:val="002B7E97"/>
    <w:rsid w:val="002C04C2"/>
    <w:rsid w:val="002C0D0D"/>
    <w:rsid w:val="002C1170"/>
    <w:rsid w:val="002C18C4"/>
    <w:rsid w:val="002C1B87"/>
    <w:rsid w:val="002C349E"/>
    <w:rsid w:val="002C3633"/>
    <w:rsid w:val="002C3915"/>
    <w:rsid w:val="002C5698"/>
    <w:rsid w:val="002C5ABE"/>
    <w:rsid w:val="002C5BFE"/>
    <w:rsid w:val="002C6255"/>
    <w:rsid w:val="002C6D87"/>
    <w:rsid w:val="002D094A"/>
    <w:rsid w:val="002D1C18"/>
    <w:rsid w:val="002D243F"/>
    <w:rsid w:val="002D495F"/>
    <w:rsid w:val="002D4F53"/>
    <w:rsid w:val="002D5D2D"/>
    <w:rsid w:val="002D6401"/>
    <w:rsid w:val="002D7582"/>
    <w:rsid w:val="002D76EA"/>
    <w:rsid w:val="002D78D3"/>
    <w:rsid w:val="002E0A09"/>
    <w:rsid w:val="002E0BAB"/>
    <w:rsid w:val="002E0F6F"/>
    <w:rsid w:val="002E25E5"/>
    <w:rsid w:val="002E3172"/>
    <w:rsid w:val="002E32F0"/>
    <w:rsid w:val="002E4542"/>
    <w:rsid w:val="002E526F"/>
    <w:rsid w:val="002E5C7D"/>
    <w:rsid w:val="002E6028"/>
    <w:rsid w:val="002E6A9F"/>
    <w:rsid w:val="002F0687"/>
    <w:rsid w:val="0030068D"/>
    <w:rsid w:val="00300B11"/>
    <w:rsid w:val="003011F1"/>
    <w:rsid w:val="003015E5"/>
    <w:rsid w:val="00302BBB"/>
    <w:rsid w:val="003048B4"/>
    <w:rsid w:val="00305A6F"/>
    <w:rsid w:val="00307E94"/>
    <w:rsid w:val="00310118"/>
    <w:rsid w:val="00311AC9"/>
    <w:rsid w:val="0031398E"/>
    <w:rsid w:val="00313BD4"/>
    <w:rsid w:val="0031416A"/>
    <w:rsid w:val="00314957"/>
    <w:rsid w:val="00314ACE"/>
    <w:rsid w:val="0031732F"/>
    <w:rsid w:val="003177AD"/>
    <w:rsid w:val="0032038F"/>
    <w:rsid w:val="003213E3"/>
    <w:rsid w:val="00321CEA"/>
    <w:rsid w:val="0032207A"/>
    <w:rsid w:val="00322336"/>
    <w:rsid w:val="00322E4F"/>
    <w:rsid w:val="003230D2"/>
    <w:rsid w:val="003251F3"/>
    <w:rsid w:val="00326630"/>
    <w:rsid w:val="003279AF"/>
    <w:rsid w:val="00330396"/>
    <w:rsid w:val="0033304A"/>
    <w:rsid w:val="0033385A"/>
    <w:rsid w:val="00334626"/>
    <w:rsid w:val="00335F4D"/>
    <w:rsid w:val="00336385"/>
    <w:rsid w:val="003367FE"/>
    <w:rsid w:val="0033799F"/>
    <w:rsid w:val="00337DBF"/>
    <w:rsid w:val="003401C2"/>
    <w:rsid w:val="00342217"/>
    <w:rsid w:val="00344AE5"/>
    <w:rsid w:val="00344F91"/>
    <w:rsid w:val="003454CE"/>
    <w:rsid w:val="003469A0"/>
    <w:rsid w:val="00346EBA"/>
    <w:rsid w:val="00347056"/>
    <w:rsid w:val="003503FC"/>
    <w:rsid w:val="00350773"/>
    <w:rsid w:val="00351082"/>
    <w:rsid w:val="00351CDC"/>
    <w:rsid w:val="00352C2C"/>
    <w:rsid w:val="00352FEA"/>
    <w:rsid w:val="003568E7"/>
    <w:rsid w:val="00356BCC"/>
    <w:rsid w:val="00356F5B"/>
    <w:rsid w:val="003579F5"/>
    <w:rsid w:val="00360B26"/>
    <w:rsid w:val="00361722"/>
    <w:rsid w:val="003628BF"/>
    <w:rsid w:val="003630E3"/>
    <w:rsid w:val="00363288"/>
    <w:rsid w:val="003633C4"/>
    <w:rsid w:val="003656B6"/>
    <w:rsid w:val="0036711A"/>
    <w:rsid w:val="00370053"/>
    <w:rsid w:val="003704C6"/>
    <w:rsid w:val="00370918"/>
    <w:rsid w:val="00370A31"/>
    <w:rsid w:val="00371A0F"/>
    <w:rsid w:val="00371B3C"/>
    <w:rsid w:val="00372266"/>
    <w:rsid w:val="00372373"/>
    <w:rsid w:val="0037287E"/>
    <w:rsid w:val="00372AB6"/>
    <w:rsid w:val="00372B59"/>
    <w:rsid w:val="00372BFD"/>
    <w:rsid w:val="00373283"/>
    <w:rsid w:val="00373BD5"/>
    <w:rsid w:val="00374B84"/>
    <w:rsid w:val="00374C5B"/>
    <w:rsid w:val="00374ECC"/>
    <w:rsid w:val="00375C47"/>
    <w:rsid w:val="003770F9"/>
    <w:rsid w:val="00377933"/>
    <w:rsid w:val="003779E9"/>
    <w:rsid w:val="00377E50"/>
    <w:rsid w:val="00380958"/>
    <w:rsid w:val="00381AC1"/>
    <w:rsid w:val="00382494"/>
    <w:rsid w:val="00382FCE"/>
    <w:rsid w:val="00383150"/>
    <w:rsid w:val="00383783"/>
    <w:rsid w:val="00383B43"/>
    <w:rsid w:val="00383C26"/>
    <w:rsid w:val="00384A4C"/>
    <w:rsid w:val="003850F2"/>
    <w:rsid w:val="00387F4C"/>
    <w:rsid w:val="00390361"/>
    <w:rsid w:val="0039143F"/>
    <w:rsid w:val="00391847"/>
    <w:rsid w:val="0039273F"/>
    <w:rsid w:val="00393971"/>
    <w:rsid w:val="00393A47"/>
    <w:rsid w:val="00394FD4"/>
    <w:rsid w:val="003950AC"/>
    <w:rsid w:val="00395D16"/>
    <w:rsid w:val="00396AB6"/>
    <w:rsid w:val="003A574A"/>
    <w:rsid w:val="003A5AFB"/>
    <w:rsid w:val="003A5FBE"/>
    <w:rsid w:val="003A663D"/>
    <w:rsid w:val="003A6706"/>
    <w:rsid w:val="003A6C42"/>
    <w:rsid w:val="003B0217"/>
    <w:rsid w:val="003B080D"/>
    <w:rsid w:val="003B15E4"/>
    <w:rsid w:val="003B2AA1"/>
    <w:rsid w:val="003B2ACC"/>
    <w:rsid w:val="003B3FA4"/>
    <w:rsid w:val="003B40BD"/>
    <w:rsid w:val="003B482F"/>
    <w:rsid w:val="003B5489"/>
    <w:rsid w:val="003B571B"/>
    <w:rsid w:val="003B660D"/>
    <w:rsid w:val="003B732E"/>
    <w:rsid w:val="003B784A"/>
    <w:rsid w:val="003B7CED"/>
    <w:rsid w:val="003C1BBB"/>
    <w:rsid w:val="003C2092"/>
    <w:rsid w:val="003C2824"/>
    <w:rsid w:val="003C2DD9"/>
    <w:rsid w:val="003C47BA"/>
    <w:rsid w:val="003C5189"/>
    <w:rsid w:val="003C5919"/>
    <w:rsid w:val="003C5AE8"/>
    <w:rsid w:val="003C6235"/>
    <w:rsid w:val="003C6A77"/>
    <w:rsid w:val="003C6FAF"/>
    <w:rsid w:val="003C7AC8"/>
    <w:rsid w:val="003D0F2D"/>
    <w:rsid w:val="003D1461"/>
    <w:rsid w:val="003D2471"/>
    <w:rsid w:val="003D2A1B"/>
    <w:rsid w:val="003D3746"/>
    <w:rsid w:val="003D41C6"/>
    <w:rsid w:val="003D49CD"/>
    <w:rsid w:val="003D78B8"/>
    <w:rsid w:val="003E0159"/>
    <w:rsid w:val="003E0266"/>
    <w:rsid w:val="003E16A9"/>
    <w:rsid w:val="003E188B"/>
    <w:rsid w:val="003E18FB"/>
    <w:rsid w:val="003E339D"/>
    <w:rsid w:val="003E38CB"/>
    <w:rsid w:val="003E3B66"/>
    <w:rsid w:val="003E4955"/>
    <w:rsid w:val="003E4BDD"/>
    <w:rsid w:val="003E521A"/>
    <w:rsid w:val="003E5BEF"/>
    <w:rsid w:val="003E6FBB"/>
    <w:rsid w:val="003E736A"/>
    <w:rsid w:val="003E7663"/>
    <w:rsid w:val="003E7834"/>
    <w:rsid w:val="003F06EF"/>
    <w:rsid w:val="003F0B84"/>
    <w:rsid w:val="003F0B8C"/>
    <w:rsid w:val="003F0F2F"/>
    <w:rsid w:val="003F1942"/>
    <w:rsid w:val="003F264E"/>
    <w:rsid w:val="003F2742"/>
    <w:rsid w:val="003F5955"/>
    <w:rsid w:val="003F5F74"/>
    <w:rsid w:val="003F5FFA"/>
    <w:rsid w:val="003F667B"/>
    <w:rsid w:val="003F6FC4"/>
    <w:rsid w:val="00400E2D"/>
    <w:rsid w:val="004015B5"/>
    <w:rsid w:val="0040225C"/>
    <w:rsid w:val="0040235E"/>
    <w:rsid w:val="00402667"/>
    <w:rsid w:val="00402AD6"/>
    <w:rsid w:val="004041FA"/>
    <w:rsid w:val="00404DB6"/>
    <w:rsid w:val="00404F17"/>
    <w:rsid w:val="00405752"/>
    <w:rsid w:val="00407232"/>
    <w:rsid w:val="004074F5"/>
    <w:rsid w:val="00412392"/>
    <w:rsid w:val="004126D0"/>
    <w:rsid w:val="00413066"/>
    <w:rsid w:val="00413782"/>
    <w:rsid w:val="004139FF"/>
    <w:rsid w:val="00413BE6"/>
    <w:rsid w:val="004145E9"/>
    <w:rsid w:val="00415420"/>
    <w:rsid w:val="004155EC"/>
    <w:rsid w:val="00417379"/>
    <w:rsid w:val="00417BEE"/>
    <w:rsid w:val="00420A14"/>
    <w:rsid w:val="00420E65"/>
    <w:rsid w:val="004211A7"/>
    <w:rsid w:val="00422AD3"/>
    <w:rsid w:val="00425618"/>
    <w:rsid w:val="00426367"/>
    <w:rsid w:val="00427765"/>
    <w:rsid w:val="004278FF"/>
    <w:rsid w:val="00430652"/>
    <w:rsid w:val="00430768"/>
    <w:rsid w:val="00430799"/>
    <w:rsid w:val="00430AA4"/>
    <w:rsid w:val="00430E60"/>
    <w:rsid w:val="00430EBB"/>
    <w:rsid w:val="00433E22"/>
    <w:rsid w:val="00437053"/>
    <w:rsid w:val="00440248"/>
    <w:rsid w:val="00440A73"/>
    <w:rsid w:val="00440AAD"/>
    <w:rsid w:val="00443B89"/>
    <w:rsid w:val="00443C79"/>
    <w:rsid w:val="00444185"/>
    <w:rsid w:val="0044568C"/>
    <w:rsid w:val="004461FF"/>
    <w:rsid w:val="00446DFA"/>
    <w:rsid w:val="004478AF"/>
    <w:rsid w:val="00447E7A"/>
    <w:rsid w:val="00450457"/>
    <w:rsid w:val="004508F2"/>
    <w:rsid w:val="00450935"/>
    <w:rsid w:val="0045450E"/>
    <w:rsid w:val="00454B35"/>
    <w:rsid w:val="004561F3"/>
    <w:rsid w:val="00456E07"/>
    <w:rsid w:val="004578C6"/>
    <w:rsid w:val="00457DAC"/>
    <w:rsid w:val="0046005C"/>
    <w:rsid w:val="004619DC"/>
    <w:rsid w:val="00461E39"/>
    <w:rsid w:val="0046210B"/>
    <w:rsid w:val="00462647"/>
    <w:rsid w:val="00462EF8"/>
    <w:rsid w:val="00463075"/>
    <w:rsid w:val="00464259"/>
    <w:rsid w:val="004647BA"/>
    <w:rsid w:val="00466744"/>
    <w:rsid w:val="00471252"/>
    <w:rsid w:val="00473196"/>
    <w:rsid w:val="00474382"/>
    <w:rsid w:val="00474A1A"/>
    <w:rsid w:val="00475645"/>
    <w:rsid w:val="004760C1"/>
    <w:rsid w:val="00476111"/>
    <w:rsid w:val="004761E1"/>
    <w:rsid w:val="0047657D"/>
    <w:rsid w:val="00477883"/>
    <w:rsid w:val="004804B8"/>
    <w:rsid w:val="004809EE"/>
    <w:rsid w:val="00480C68"/>
    <w:rsid w:val="004816B0"/>
    <w:rsid w:val="00482887"/>
    <w:rsid w:val="004835C7"/>
    <w:rsid w:val="00484379"/>
    <w:rsid w:val="00484A00"/>
    <w:rsid w:val="00484A08"/>
    <w:rsid w:val="00484E8A"/>
    <w:rsid w:val="004858A0"/>
    <w:rsid w:val="004875D9"/>
    <w:rsid w:val="00487CF7"/>
    <w:rsid w:val="004900A8"/>
    <w:rsid w:val="0049107E"/>
    <w:rsid w:val="004917D3"/>
    <w:rsid w:val="004926A7"/>
    <w:rsid w:val="00493D74"/>
    <w:rsid w:val="0049452E"/>
    <w:rsid w:val="00495EF3"/>
    <w:rsid w:val="00496D63"/>
    <w:rsid w:val="00497733"/>
    <w:rsid w:val="00497D0D"/>
    <w:rsid w:val="004A0066"/>
    <w:rsid w:val="004A0B00"/>
    <w:rsid w:val="004A0E48"/>
    <w:rsid w:val="004A19CB"/>
    <w:rsid w:val="004A2B63"/>
    <w:rsid w:val="004A2C48"/>
    <w:rsid w:val="004A3218"/>
    <w:rsid w:val="004A3444"/>
    <w:rsid w:val="004A4161"/>
    <w:rsid w:val="004A424F"/>
    <w:rsid w:val="004A430A"/>
    <w:rsid w:val="004A44A6"/>
    <w:rsid w:val="004A4A1B"/>
    <w:rsid w:val="004A4B17"/>
    <w:rsid w:val="004A5B2F"/>
    <w:rsid w:val="004A5B5E"/>
    <w:rsid w:val="004B0D25"/>
    <w:rsid w:val="004B0D40"/>
    <w:rsid w:val="004B29A7"/>
    <w:rsid w:val="004B3A01"/>
    <w:rsid w:val="004B409A"/>
    <w:rsid w:val="004B5010"/>
    <w:rsid w:val="004B645C"/>
    <w:rsid w:val="004C0C6E"/>
    <w:rsid w:val="004C1488"/>
    <w:rsid w:val="004C1865"/>
    <w:rsid w:val="004C1C3A"/>
    <w:rsid w:val="004C3797"/>
    <w:rsid w:val="004C3D6C"/>
    <w:rsid w:val="004C455F"/>
    <w:rsid w:val="004C66C4"/>
    <w:rsid w:val="004C6AE5"/>
    <w:rsid w:val="004C6E0E"/>
    <w:rsid w:val="004C7C17"/>
    <w:rsid w:val="004C7CB4"/>
    <w:rsid w:val="004D1440"/>
    <w:rsid w:val="004D233D"/>
    <w:rsid w:val="004D353A"/>
    <w:rsid w:val="004D4BBC"/>
    <w:rsid w:val="004D77C7"/>
    <w:rsid w:val="004E2920"/>
    <w:rsid w:val="004E2C18"/>
    <w:rsid w:val="004E2CB9"/>
    <w:rsid w:val="004E2EEC"/>
    <w:rsid w:val="004E4605"/>
    <w:rsid w:val="004E4A95"/>
    <w:rsid w:val="004E5AC0"/>
    <w:rsid w:val="004E7E58"/>
    <w:rsid w:val="004E7F46"/>
    <w:rsid w:val="004F030D"/>
    <w:rsid w:val="004F0405"/>
    <w:rsid w:val="004F08CD"/>
    <w:rsid w:val="004F0AEB"/>
    <w:rsid w:val="004F1D75"/>
    <w:rsid w:val="004F31D4"/>
    <w:rsid w:val="004F4335"/>
    <w:rsid w:val="004F4ADA"/>
    <w:rsid w:val="004F6654"/>
    <w:rsid w:val="004F7FF8"/>
    <w:rsid w:val="0050052F"/>
    <w:rsid w:val="005012B2"/>
    <w:rsid w:val="00501E09"/>
    <w:rsid w:val="0050220A"/>
    <w:rsid w:val="00503233"/>
    <w:rsid w:val="00503C22"/>
    <w:rsid w:val="00503D2D"/>
    <w:rsid w:val="00504784"/>
    <w:rsid w:val="005053E4"/>
    <w:rsid w:val="00505489"/>
    <w:rsid w:val="00505D2E"/>
    <w:rsid w:val="005063B0"/>
    <w:rsid w:val="0050646F"/>
    <w:rsid w:val="005067A4"/>
    <w:rsid w:val="00506BCA"/>
    <w:rsid w:val="00507BA4"/>
    <w:rsid w:val="005123B1"/>
    <w:rsid w:val="005131C0"/>
    <w:rsid w:val="0051349C"/>
    <w:rsid w:val="00514345"/>
    <w:rsid w:val="00514AC8"/>
    <w:rsid w:val="005150DC"/>
    <w:rsid w:val="00515C1B"/>
    <w:rsid w:val="00515DC1"/>
    <w:rsid w:val="0051760B"/>
    <w:rsid w:val="005203E9"/>
    <w:rsid w:val="00520FC3"/>
    <w:rsid w:val="0052258A"/>
    <w:rsid w:val="005232A9"/>
    <w:rsid w:val="00523CFA"/>
    <w:rsid w:val="00523DD8"/>
    <w:rsid w:val="00524299"/>
    <w:rsid w:val="00524C6D"/>
    <w:rsid w:val="005250C7"/>
    <w:rsid w:val="005252D0"/>
    <w:rsid w:val="0052601C"/>
    <w:rsid w:val="005275E5"/>
    <w:rsid w:val="00527647"/>
    <w:rsid w:val="00527965"/>
    <w:rsid w:val="00530A09"/>
    <w:rsid w:val="00530D0B"/>
    <w:rsid w:val="00531351"/>
    <w:rsid w:val="00531D84"/>
    <w:rsid w:val="00531F9A"/>
    <w:rsid w:val="005320A7"/>
    <w:rsid w:val="005332DD"/>
    <w:rsid w:val="00533410"/>
    <w:rsid w:val="00533764"/>
    <w:rsid w:val="00533EC7"/>
    <w:rsid w:val="0053475F"/>
    <w:rsid w:val="00534F28"/>
    <w:rsid w:val="0053555F"/>
    <w:rsid w:val="00535FA0"/>
    <w:rsid w:val="005360BF"/>
    <w:rsid w:val="00536315"/>
    <w:rsid w:val="00537703"/>
    <w:rsid w:val="00537F0B"/>
    <w:rsid w:val="00541AA5"/>
    <w:rsid w:val="005422B1"/>
    <w:rsid w:val="00542F70"/>
    <w:rsid w:val="0054418F"/>
    <w:rsid w:val="00544F7D"/>
    <w:rsid w:val="0054604A"/>
    <w:rsid w:val="00546437"/>
    <w:rsid w:val="005464E3"/>
    <w:rsid w:val="00546A49"/>
    <w:rsid w:val="00550A56"/>
    <w:rsid w:val="00551F47"/>
    <w:rsid w:val="005525A7"/>
    <w:rsid w:val="00553740"/>
    <w:rsid w:val="00554320"/>
    <w:rsid w:val="005546A9"/>
    <w:rsid w:val="00554FF0"/>
    <w:rsid w:val="005558C6"/>
    <w:rsid w:val="0055755D"/>
    <w:rsid w:val="00561900"/>
    <w:rsid w:val="005624E9"/>
    <w:rsid w:val="005625F4"/>
    <w:rsid w:val="00563706"/>
    <w:rsid w:val="00565425"/>
    <w:rsid w:val="0056649D"/>
    <w:rsid w:val="00566541"/>
    <w:rsid w:val="005665EE"/>
    <w:rsid w:val="00567474"/>
    <w:rsid w:val="00567EE5"/>
    <w:rsid w:val="00567FB2"/>
    <w:rsid w:val="00570C35"/>
    <w:rsid w:val="00571149"/>
    <w:rsid w:val="00571C70"/>
    <w:rsid w:val="00573A40"/>
    <w:rsid w:val="00574BCA"/>
    <w:rsid w:val="00576FA3"/>
    <w:rsid w:val="005771C4"/>
    <w:rsid w:val="00577332"/>
    <w:rsid w:val="005774B4"/>
    <w:rsid w:val="005779E9"/>
    <w:rsid w:val="00580642"/>
    <w:rsid w:val="0058174A"/>
    <w:rsid w:val="00581958"/>
    <w:rsid w:val="00582CB6"/>
    <w:rsid w:val="0058313F"/>
    <w:rsid w:val="0058487C"/>
    <w:rsid w:val="00585204"/>
    <w:rsid w:val="005854AB"/>
    <w:rsid w:val="00586650"/>
    <w:rsid w:val="005866CC"/>
    <w:rsid w:val="00586BE5"/>
    <w:rsid w:val="00587677"/>
    <w:rsid w:val="005903B0"/>
    <w:rsid w:val="005907DD"/>
    <w:rsid w:val="0059152C"/>
    <w:rsid w:val="00591DFD"/>
    <w:rsid w:val="00592ED1"/>
    <w:rsid w:val="0059326E"/>
    <w:rsid w:val="005934EE"/>
    <w:rsid w:val="005A0475"/>
    <w:rsid w:val="005A0504"/>
    <w:rsid w:val="005A0EC0"/>
    <w:rsid w:val="005A1477"/>
    <w:rsid w:val="005A1513"/>
    <w:rsid w:val="005A170C"/>
    <w:rsid w:val="005A2D88"/>
    <w:rsid w:val="005A30D1"/>
    <w:rsid w:val="005A3443"/>
    <w:rsid w:val="005A3F73"/>
    <w:rsid w:val="005A4069"/>
    <w:rsid w:val="005A476F"/>
    <w:rsid w:val="005A4D7E"/>
    <w:rsid w:val="005A5F48"/>
    <w:rsid w:val="005A68D9"/>
    <w:rsid w:val="005A71A0"/>
    <w:rsid w:val="005A7791"/>
    <w:rsid w:val="005B065E"/>
    <w:rsid w:val="005B0A1B"/>
    <w:rsid w:val="005B0F32"/>
    <w:rsid w:val="005B4F90"/>
    <w:rsid w:val="005B5A87"/>
    <w:rsid w:val="005B6193"/>
    <w:rsid w:val="005B67F2"/>
    <w:rsid w:val="005C0181"/>
    <w:rsid w:val="005C086A"/>
    <w:rsid w:val="005C0EE1"/>
    <w:rsid w:val="005C1756"/>
    <w:rsid w:val="005C3444"/>
    <w:rsid w:val="005C4355"/>
    <w:rsid w:val="005C5429"/>
    <w:rsid w:val="005C5B34"/>
    <w:rsid w:val="005C5D33"/>
    <w:rsid w:val="005C6009"/>
    <w:rsid w:val="005C68F1"/>
    <w:rsid w:val="005C731E"/>
    <w:rsid w:val="005C7BC5"/>
    <w:rsid w:val="005D022F"/>
    <w:rsid w:val="005D02D9"/>
    <w:rsid w:val="005D0470"/>
    <w:rsid w:val="005D08FE"/>
    <w:rsid w:val="005D1781"/>
    <w:rsid w:val="005D17D1"/>
    <w:rsid w:val="005D1E22"/>
    <w:rsid w:val="005D20DE"/>
    <w:rsid w:val="005D2FA0"/>
    <w:rsid w:val="005D36A4"/>
    <w:rsid w:val="005D4E9B"/>
    <w:rsid w:val="005D51AE"/>
    <w:rsid w:val="005D53DE"/>
    <w:rsid w:val="005E05B8"/>
    <w:rsid w:val="005E0E87"/>
    <w:rsid w:val="005E14C4"/>
    <w:rsid w:val="005E1CA2"/>
    <w:rsid w:val="005E1D78"/>
    <w:rsid w:val="005E2670"/>
    <w:rsid w:val="005E2B24"/>
    <w:rsid w:val="005E392E"/>
    <w:rsid w:val="005E462D"/>
    <w:rsid w:val="005E51D5"/>
    <w:rsid w:val="005F0A85"/>
    <w:rsid w:val="005F0DB8"/>
    <w:rsid w:val="005F15DA"/>
    <w:rsid w:val="005F181C"/>
    <w:rsid w:val="005F1D5C"/>
    <w:rsid w:val="005F63FC"/>
    <w:rsid w:val="005F72E0"/>
    <w:rsid w:val="005F7381"/>
    <w:rsid w:val="005F7509"/>
    <w:rsid w:val="00600873"/>
    <w:rsid w:val="006015CC"/>
    <w:rsid w:val="006028CC"/>
    <w:rsid w:val="00602913"/>
    <w:rsid w:val="00603323"/>
    <w:rsid w:val="00603A58"/>
    <w:rsid w:val="00605D91"/>
    <w:rsid w:val="0060685C"/>
    <w:rsid w:val="00606A19"/>
    <w:rsid w:val="00607770"/>
    <w:rsid w:val="00607881"/>
    <w:rsid w:val="006106D6"/>
    <w:rsid w:val="00610A3C"/>
    <w:rsid w:val="00610B14"/>
    <w:rsid w:val="00610BD8"/>
    <w:rsid w:val="0061139E"/>
    <w:rsid w:val="006150DA"/>
    <w:rsid w:val="00615391"/>
    <w:rsid w:val="00615CC5"/>
    <w:rsid w:val="0061667D"/>
    <w:rsid w:val="00616929"/>
    <w:rsid w:val="00616DBB"/>
    <w:rsid w:val="00621801"/>
    <w:rsid w:val="00622152"/>
    <w:rsid w:val="00622AE9"/>
    <w:rsid w:val="00622EC8"/>
    <w:rsid w:val="006236EC"/>
    <w:rsid w:val="006245DD"/>
    <w:rsid w:val="006250A4"/>
    <w:rsid w:val="006252F5"/>
    <w:rsid w:val="00625A2A"/>
    <w:rsid w:val="006261CD"/>
    <w:rsid w:val="0062636C"/>
    <w:rsid w:val="00626E1B"/>
    <w:rsid w:val="0063125D"/>
    <w:rsid w:val="0063158B"/>
    <w:rsid w:val="0063235C"/>
    <w:rsid w:val="00633406"/>
    <w:rsid w:val="006335DE"/>
    <w:rsid w:val="00633B7A"/>
    <w:rsid w:val="00637679"/>
    <w:rsid w:val="00637D06"/>
    <w:rsid w:val="00637FF6"/>
    <w:rsid w:val="006416BB"/>
    <w:rsid w:val="00641A5F"/>
    <w:rsid w:val="006424D1"/>
    <w:rsid w:val="0064293D"/>
    <w:rsid w:val="00644940"/>
    <w:rsid w:val="00644E5A"/>
    <w:rsid w:val="00645899"/>
    <w:rsid w:val="006465C7"/>
    <w:rsid w:val="00646965"/>
    <w:rsid w:val="00646B81"/>
    <w:rsid w:val="00646EA2"/>
    <w:rsid w:val="00651ADF"/>
    <w:rsid w:val="0065202C"/>
    <w:rsid w:val="00652A50"/>
    <w:rsid w:val="0065338F"/>
    <w:rsid w:val="00653747"/>
    <w:rsid w:val="00653D8A"/>
    <w:rsid w:val="00654A60"/>
    <w:rsid w:val="00655AAC"/>
    <w:rsid w:val="00657743"/>
    <w:rsid w:val="00660C42"/>
    <w:rsid w:val="006616E2"/>
    <w:rsid w:val="006628A9"/>
    <w:rsid w:val="00662D9D"/>
    <w:rsid w:val="00662ED0"/>
    <w:rsid w:val="006634EB"/>
    <w:rsid w:val="00665A01"/>
    <w:rsid w:val="00665AE6"/>
    <w:rsid w:val="0067106D"/>
    <w:rsid w:val="0067272A"/>
    <w:rsid w:val="006733A7"/>
    <w:rsid w:val="00674671"/>
    <w:rsid w:val="00674736"/>
    <w:rsid w:val="00674761"/>
    <w:rsid w:val="00675529"/>
    <w:rsid w:val="006759AE"/>
    <w:rsid w:val="00676FEB"/>
    <w:rsid w:val="00677190"/>
    <w:rsid w:val="00677938"/>
    <w:rsid w:val="00680668"/>
    <w:rsid w:val="00681067"/>
    <w:rsid w:val="00681911"/>
    <w:rsid w:val="00681F89"/>
    <w:rsid w:val="00682129"/>
    <w:rsid w:val="00682882"/>
    <w:rsid w:val="00682CE2"/>
    <w:rsid w:val="00682F4A"/>
    <w:rsid w:val="00683A93"/>
    <w:rsid w:val="00684B7D"/>
    <w:rsid w:val="00684BA6"/>
    <w:rsid w:val="0068600C"/>
    <w:rsid w:val="00686E9B"/>
    <w:rsid w:val="006877AD"/>
    <w:rsid w:val="006908E1"/>
    <w:rsid w:val="0069251A"/>
    <w:rsid w:val="00692AA5"/>
    <w:rsid w:val="00693948"/>
    <w:rsid w:val="006954E7"/>
    <w:rsid w:val="006963DA"/>
    <w:rsid w:val="00697C33"/>
    <w:rsid w:val="00697F3A"/>
    <w:rsid w:val="006A082B"/>
    <w:rsid w:val="006A192E"/>
    <w:rsid w:val="006A2323"/>
    <w:rsid w:val="006A2CEB"/>
    <w:rsid w:val="006A311B"/>
    <w:rsid w:val="006A370E"/>
    <w:rsid w:val="006A3DB5"/>
    <w:rsid w:val="006A481F"/>
    <w:rsid w:val="006A48A5"/>
    <w:rsid w:val="006A575C"/>
    <w:rsid w:val="006A68B3"/>
    <w:rsid w:val="006A73E4"/>
    <w:rsid w:val="006A7AAA"/>
    <w:rsid w:val="006B0127"/>
    <w:rsid w:val="006B1506"/>
    <w:rsid w:val="006B293F"/>
    <w:rsid w:val="006B3526"/>
    <w:rsid w:val="006B3C70"/>
    <w:rsid w:val="006B4419"/>
    <w:rsid w:val="006B4646"/>
    <w:rsid w:val="006B5FEB"/>
    <w:rsid w:val="006B6D34"/>
    <w:rsid w:val="006B6F30"/>
    <w:rsid w:val="006B703E"/>
    <w:rsid w:val="006B71AC"/>
    <w:rsid w:val="006B7AC2"/>
    <w:rsid w:val="006C276A"/>
    <w:rsid w:val="006C2D58"/>
    <w:rsid w:val="006C366F"/>
    <w:rsid w:val="006C3749"/>
    <w:rsid w:val="006C377A"/>
    <w:rsid w:val="006C3EDC"/>
    <w:rsid w:val="006C4E1A"/>
    <w:rsid w:val="006C54DB"/>
    <w:rsid w:val="006C5C0E"/>
    <w:rsid w:val="006C6B37"/>
    <w:rsid w:val="006C70C8"/>
    <w:rsid w:val="006C74B3"/>
    <w:rsid w:val="006D0F6C"/>
    <w:rsid w:val="006D21B5"/>
    <w:rsid w:val="006D2D06"/>
    <w:rsid w:val="006D3631"/>
    <w:rsid w:val="006D371F"/>
    <w:rsid w:val="006D489B"/>
    <w:rsid w:val="006D516B"/>
    <w:rsid w:val="006D54A9"/>
    <w:rsid w:val="006D56D8"/>
    <w:rsid w:val="006D5A11"/>
    <w:rsid w:val="006D5E67"/>
    <w:rsid w:val="006D7383"/>
    <w:rsid w:val="006D751F"/>
    <w:rsid w:val="006E18B4"/>
    <w:rsid w:val="006E24A7"/>
    <w:rsid w:val="006E2E9E"/>
    <w:rsid w:val="006E30A2"/>
    <w:rsid w:val="006E3FFD"/>
    <w:rsid w:val="006E403A"/>
    <w:rsid w:val="006E4C3F"/>
    <w:rsid w:val="006E4D0D"/>
    <w:rsid w:val="006E5FE1"/>
    <w:rsid w:val="006E6864"/>
    <w:rsid w:val="006E797E"/>
    <w:rsid w:val="006E7D76"/>
    <w:rsid w:val="006F0791"/>
    <w:rsid w:val="006F088C"/>
    <w:rsid w:val="006F22A4"/>
    <w:rsid w:val="006F292A"/>
    <w:rsid w:val="006F4EC2"/>
    <w:rsid w:val="006F7089"/>
    <w:rsid w:val="006F7BA6"/>
    <w:rsid w:val="006F7ECE"/>
    <w:rsid w:val="0070000A"/>
    <w:rsid w:val="0070058B"/>
    <w:rsid w:val="007027BA"/>
    <w:rsid w:val="0070288D"/>
    <w:rsid w:val="00702E16"/>
    <w:rsid w:val="00703110"/>
    <w:rsid w:val="0070397A"/>
    <w:rsid w:val="007053C1"/>
    <w:rsid w:val="00707296"/>
    <w:rsid w:val="007072C7"/>
    <w:rsid w:val="00707F41"/>
    <w:rsid w:val="00711AD2"/>
    <w:rsid w:val="00711B37"/>
    <w:rsid w:val="00712296"/>
    <w:rsid w:val="00712888"/>
    <w:rsid w:val="00713B9C"/>
    <w:rsid w:val="00714603"/>
    <w:rsid w:val="00714D8D"/>
    <w:rsid w:val="00714FCC"/>
    <w:rsid w:val="007157B9"/>
    <w:rsid w:val="007166D4"/>
    <w:rsid w:val="00716701"/>
    <w:rsid w:val="00716A46"/>
    <w:rsid w:val="0071773B"/>
    <w:rsid w:val="00720451"/>
    <w:rsid w:val="007217D3"/>
    <w:rsid w:val="00722608"/>
    <w:rsid w:val="00722C14"/>
    <w:rsid w:val="00723072"/>
    <w:rsid w:val="0072386F"/>
    <w:rsid w:val="00724B5A"/>
    <w:rsid w:val="00725641"/>
    <w:rsid w:val="00725D36"/>
    <w:rsid w:val="007266F5"/>
    <w:rsid w:val="007309D5"/>
    <w:rsid w:val="0073149F"/>
    <w:rsid w:val="00731521"/>
    <w:rsid w:val="00732D27"/>
    <w:rsid w:val="0073363A"/>
    <w:rsid w:val="0073442D"/>
    <w:rsid w:val="00735186"/>
    <w:rsid w:val="00735445"/>
    <w:rsid w:val="0073564B"/>
    <w:rsid w:val="007356CB"/>
    <w:rsid w:val="00736321"/>
    <w:rsid w:val="007402E1"/>
    <w:rsid w:val="007408DF"/>
    <w:rsid w:val="00741367"/>
    <w:rsid w:val="00741B59"/>
    <w:rsid w:val="007433E0"/>
    <w:rsid w:val="007457C2"/>
    <w:rsid w:val="00745AB6"/>
    <w:rsid w:val="00745C1E"/>
    <w:rsid w:val="00746635"/>
    <w:rsid w:val="00746C7C"/>
    <w:rsid w:val="00747698"/>
    <w:rsid w:val="00750095"/>
    <w:rsid w:val="00752448"/>
    <w:rsid w:val="00752D39"/>
    <w:rsid w:val="00752F25"/>
    <w:rsid w:val="00754DFF"/>
    <w:rsid w:val="00756475"/>
    <w:rsid w:val="00757CFC"/>
    <w:rsid w:val="0076071C"/>
    <w:rsid w:val="00762BA3"/>
    <w:rsid w:val="0076358F"/>
    <w:rsid w:val="00763DEA"/>
    <w:rsid w:val="00763E34"/>
    <w:rsid w:val="00764392"/>
    <w:rsid w:val="007651DC"/>
    <w:rsid w:val="0076580B"/>
    <w:rsid w:val="00765BF3"/>
    <w:rsid w:val="00765E29"/>
    <w:rsid w:val="00766065"/>
    <w:rsid w:val="0076660E"/>
    <w:rsid w:val="007668A9"/>
    <w:rsid w:val="007670DF"/>
    <w:rsid w:val="007676A4"/>
    <w:rsid w:val="00771299"/>
    <w:rsid w:val="00771BDC"/>
    <w:rsid w:val="0077246A"/>
    <w:rsid w:val="0077261C"/>
    <w:rsid w:val="007726B8"/>
    <w:rsid w:val="007744DE"/>
    <w:rsid w:val="00775C33"/>
    <w:rsid w:val="007770D1"/>
    <w:rsid w:val="007779C6"/>
    <w:rsid w:val="007805FB"/>
    <w:rsid w:val="00781C4C"/>
    <w:rsid w:val="0078279D"/>
    <w:rsid w:val="00783054"/>
    <w:rsid w:val="00783E99"/>
    <w:rsid w:val="00784166"/>
    <w:rsid w:val="0078492F"/>
    <w:rsid w:val="00784BE7"/>
    <w:rsid w:val="00786188"/>
    <w:rsid w:val="007862BD"/>
    <w:rsid w:val="00786B52"/>
    <w:rsid w:val="00786C27"/>
    <w:rsid w:val="007906D4"/>
    <w:rsid w:val="007916DC"/>
    <w:rsid w:val="00791700"/>
    <w:rsid w:val="007918A9"/>
    <w:rsid w:val="007924DD"/>
    <w:rsid w:val="007927A3"/>
    <w:rsid w:val="007928D9"/>
    <w:rsid w:val="00792AE4"/>
    <w:rsid w:val="0079378B"/>
    <w:rsid w:val="00793AE2"/>
    <w:rsid w:val="00795012"/>
    <w:rsid w:val="0079726C"/>
    <w:rsid w:val="007A03BA"/>
    <w:rsid w:val="007A05BC"/>
    <w:rsid w:val="007A1E65"/>
    <w:rsid w:val="007A220C"/>
    <w:rsid w:val="007A2266"/>
    <w:rsid w:val="007A2CEE"/>
    <w:rsid w:val="007A2FB8"/>
    <w:rsid w:val="007A43ED"/>
    <w:rsid w:val="007A492B"/>
    <w:rsid w:val="007A5EA1"/>
    <w:rsid w:val="007A785D"/>
    <w:rsid w:val="007A7870"/>
    <w:rsid w:val="007A798D"/>
    <w:rsid w:val="007B08FE"/>
    <w:rsid w:val="007B1152"/>
    <w:rsid w:val="007B1269"/>
    <w:rsid w:val="007B1C96"/>
    <w:rsid w:val="007B3713"/>
    <w:rsid w:val="007B48D5"/>
    <w:rsid w:val="007B58F1"/>
    <w:rsid w:val="007B5F93"/>
    <w:rsid w:val="007B6082"/>
    <w:rsid w:val="007B653C"/>
    <w:rsid w:val="007C0140"/>
    <w:rsid w:val="007C10F4"/>
    <w:rsid w:val="007C1250"/>
    <w:rsid w:val="007C19F5"/>
    <w:rsid w:val="007C1DC6"/>
    <w:rsid w:val="007C3274"/>
    <w:rsid w:val="007C4541"/>
    <w:rsid w:val="007C69A1"/>
    <w:rsid w:val="007D04A9"/>
    <w:rsid w:val="007D07AF"/>
    <w:rsid w:val="007D07FF"/>
    <w:rsid w:val="007D1E3D"/>
    <w:rsid w:val="007D2AC1"/>
    <w:rsid w:val="007D2F46"/>
    <w:rsid w:val="007D35CB"/>
    <w:rsid w:val="007D3766"/>
    <w:rsid w:val="007D3A1E"/>
    <w:rsid w:val="007D42F2"/>
    <w:rsid w:val="007D49A6"/>
    <w:rsid w:val="007D5923"/>
    <w:rsid w:val="007D7EB1"/>
    <w:rsid w:val="007E0186"/>
    <w:rsid w:val="007E0BE1"/>
    <w:rsid w:val="007E1296"/>
    <w:rsid w:val="007E1C3F"/>
    <w:rsid w:val="007E34A5"/>
    <w:rsid w:val="007E3D0D"/>
    <w:rsid w:val="007E570D"/>
    <w:rsid w:val="007E5832"/>
    <w:rsid w:val="007E5F40"/>
    <w:rsid w:val="007E62D3"/>
    <w:rsid w:val="007E660A"/>
    <w:rsid w:val="007E7095"/>
    <w:rsid w:val="007F048B"/>
    <w:rsid w:val="007F0670"/>
    <w:rsid w:val="007F0C40"/>
    <w:rsid w:val="007F0FCA"/>
    <w:rsid w:val="007F25ED"/>
    <w:rsid w:val="007F4747"/>
    <w:rsid w:val="007F5236"/>
    <w:rsid w:val="007F68CA"/>
    <w:rsid w:val="007F7377"/>
    <w:rsid w:val="00800424"/>
    <w:rsid w:val="00800466"/>
    <w:rsid w:val="00802E05"/>
    <w:rsid w:val="00803E68"/>
    <w:rsid w:val="00803F7C"/>
    <w:rsid w:val="008042F1"/>
    <w:rsid w:val="00805FC9"/>
    <w:rsid w:val="008060B0"/>
    <w:rsid w:val="00806333"/>
    <w:rsid w:val="00807D6B"/>
    <w:rsid w:val="00807D95"/>
    <w:rsid w:val="008104AD"/>
    <w:rsid w:val="00810FC6"/>
    <w:rsid w:val="00811D23"/>
    <w:rsid w:val="00812225"/>
    <w:rsid w:val="00812C98"/>
    <w:rsid w:val="00813264"/>
    <w:rsid w:val="008145E1"/>
    <w:rsid w:val="00814B98"/>
    <w:rsid w:val="00816CB3"/>
    <w:rsid w:val="00816D68"/>
    <w:rsid w:val="00816F7B"/>
    <w:rsid w:val="0081753A"/>
    <w:rsid w:val="008175B4"/>
    <w:rsid w:val="0081775A"/>
    <w:rsid w:val="00817B79"/>
    <w:rsid w:val="00817F90"/>
    <w:rsid w:val="00821D5D"/>
    <w:rsid w:val="00821E4A"/>
    <w:rsid w:val="008225AB"/>
    <w:rsid w:val="00822B96"/>
    <w:rsid w:val="00822DB3"/>
    <w:rsid w:val="00823902"/>
    <w:rsid w:val="00824A3D"/>
    <w:rsid w:val="00824CD3"/>
    <w:rsid w:val="00825D66"/>
    <w:rsid w:val="008261B3"/>
    <w:rsid w:val="00826646"/>
    <w:rsid w:val="00827D24"/>
    <w:rsid w:val="00830F64"/>
    <w:rsid w:val="00831610"/>
    <w:rsid w:val="00832377"/>
    <w:rsid w:val="008335B6"/>
    <w:rsid w:val="00833AE4"/>
    <w:rsid w:val="00835259"/>
    <w:rsid w:val="0083549D"/>
    <w:rsid w:val="008357AC"/>
    <w:rsid w:val="0083585D"/>
    <w:rsid w:val="008362CB"/>
    <w:rsid w:val="008369D8"/>
    <w:rsid w:val="008370E1"/>
    <w:rsid w:val="008377E3"/>
    <w:rsid w:val="00837963"/>
    <w:rsid w:val="00837DB6"/>
    <w:rsid w:val="00837E3B"/>
    <w:rsid w:val="008418BB"/>
    <w:rsid w:val="008422B6"/>
    <w:rsid w:val="008437B1"/>
    <w:rsid w:val="00844639"/>
    <w:rsid w:val="00845495"/>
    <w:rsid w:val="00845D15"/>
    <w:rsid w:val="00845E0C"/>
    <w:rsid w:val="00850601"/>
    <w:rsid w:val="00851554"/>
    <w:rsid w:val="00851594"/>
    <w:rsid w:val="00851AA2"/>
    <w:rsid w:val="00852587"/>
    <w:rsid w:val="00852B96"/>
    <w:rsid w:val="00854072"/>
    <w:rsid w:val="0085408B"/>
    <w:rsid w:val="00854C0C"/>
    <w:rsid w:val="00854D6E"/>
    <w:rsid w:val="008552B6"/>
    <w:rsid w:val="008612BF"/>
    <w:rsid w:val="00861B09"/>
    <w:rsid w:val="00861CA4"/>
    <w:rsid w:val="00861DC0"/>
    <w:rsid w:val="00863E68"/>
    <w:rsid w:val="008652B5"/>
    <w:rsid w:val="00865A8E"/>
    <w:rsid w:val="00865E32"/>
    <w:rsid w:val="008670F9"/>
    <w:rsid w:val="008674BA"/>
    <w:rsid w:val="0086772A"/>
    <w:rsid w:val="008714EC"/>
    <w:rsid w:val="0087237F"/>
    <w:rsid w:val="00872C37"/>
    <w:rsid w:val="00873202"/>
    <w:rsid w:val="008741F5"/>
    <w:rsid w:val="008769C3"/>
    <w:rsid w:val="00876FAE"/>
    <w:rsid w:val="00877A51"/>
    <w:rsid w:val="00877F6F"/>
    <w:rsid w:val="008815D0"/>
    <w:rsid w:val="0088236C"/>
    <w:rsid w:val="0088346A"/>
    <w:rsid w:val="008848E6"/>
    <w:rsid w:val="00885504"/>
    <w:rsid w:val="0088672D"/>
    <w:rsid w:val="008869AB"/>
    <w:rsid w:val="0089070C"/>
    <w:rsid w:val="008908EE"/>
    <w:rsid w:val="0089291A"/>
    <w:rsid w:val="00892A7D"/>
    <w:rsid w:val="00893907"/>
    <w:rsid w:val="00893A21"/>
    <w:rsid w:val="00894D70"/>
    <w:rsid w:val="00896165"/>
    <w:rsid w:val="008963BF"/>
    <w:rsid w:val="0089719E"/>
    <w:rsid w:val="008975B6"/>
    <w:rsid w:val="0089778F"/>
    <w:rsid w:val="008A0F81"/>
    <w:rsid w:val="008A2143"/>
    <w:rsid w:val="008A3077"/>
    <w:rsid w:val="008A31F5"/>
    <w:rsid w:val="008A391C"/>
    <w:rsid w:val="008A39B0"/>
    <w:rsid w:val="008A49BE"/>
    <w:rsid w:val="008A546D"/>
    <w:rsid w:val="008A62F3"/>
    <w:rsid w:val="008A6798"/>
    <w:rsid w:val="008A74B7"/>
    <w:rsid w:val="008A7D46"/>
    <w:rsid w:val="008A7EE5"/>
    <w:rsid w:val="008B08B2"/>
    <w:rsid w:val="008B0E74"/>
    <w:rsid w:val="008B1082"/>
    <w:rsid w:val="008B231D"/>
    <w:rsid w:val="008B2B37"/>
    <w:rsid w:val="008B3C75"/>
    <w:rsid w:val="008B3E6D"/>
    <w:rsid w:val="008B4029"/>
    <w:rsid w:val="008B46D9"/>
    <w:rsid w:val="008B49D0"/>
    <w:rsid w:val="008B4DC9"/>
    <w:rsid w:val="008B52E9"/>
    <w:rsid w:val="008B6614"/>
    <w:rsid w:val="008B662F"/>
    <w:rsid w:val="008B78F7"/>
    <w:rsid w:val="008B79E7"/>
    <w:rsid w:val="008B7C62"/>
    <w:rsid w:val="008C0482"/>
    <w:rsid w:val="008C08B4"/>
    <w:rsid w:val="008C0CFF"/>
    <w:rsid w:val="008C2030"/>
    <w:rsid w:val="008C21CF"/>
    <w:rsid w:val="008C2DC7"/>
    <w:rsid w:val="008C3322"/>
    <w:rsid w:val="008C3C0B"/>
    <w:rsid w:val="008C5BB3"/>
    <w:rsid w:val="008C7B2C"/>
    <w:rsid w:val="008D2673"/>
    <w:rsid w:val="008D2772"/>
    <w:rsid w:val="008D280C"/>
    <w:rsid w:val="008D4643"/>
    <w:rsid w:val="008D60D1"/>
    <w:rsid w:val="008D723F"/>
    <w:rsid w:val="008D7B5E"/>
    <w:rsid w:val="008E14DD"/>
    <w:rsid w:val="008E1B80"/>
    <w:rsid w:val="008E260C"/>
    <w:rsid w:val="008E2756"/>
    <w:rsid w:val="008E2A23"/>
    <w:rsid w:val="008E34C7"/>
    <w:rsid w:val="008E4745"/>
    <w:rsid w:val="008E4827"/>
    <w:rsid w:val="008E59A3"/>
    <w:rsid w:val="008E5F0D"/>
    <w:rsid w:val="008E61F9"/>
    <w:rsid w:val="008E6C10"/>
    <w:rsid w:val="008E6CCE"/>
    <w:rsid w:val="008F0781"/>
    <w:rsid w:val="008F127C"/>
    <w:rsid w:val="008F21A4"/>
    <w:rsid w:val="008F40DE"/>
    <w:rsid w:val="008F5931"/>
    <w:rsid w:val="008F6026"/>
    <w:rsid w:val="008F730C"/>
    <w:rsid w:val="008F7E1F"/>
    <w:rsid w:val="00900EE6"/>
    <w:rsid w:val="00902805"/>
    <w:rsid w:val="00902BAE"/>
    <w:rsid w:val="00904CC5"/>
    <w:rsid w:val="00906154"/>
    <w:rsid w:val="00906FA5"/>
    <w:rsid w:val="00910315"/>
    <w:rsid w:val="00911933"/>
    <w:rsid w:val="00912710"/>
    <w:rsid w:val="00912850"/>
    <w:rsid w:val="009168CC"/>
    <w:rsid w:val="009170E1"/>
    <w:rsid w:val="00917178"/>
    <w:rsid w:val="00917A60"/>
    <w:rsid w:val="00917F41"/>
    <w:rsid w:val="0092044B"/>
    <w:rsid w:val="009209E5"/>
    <w:rsid w:val="00921011"/>
    <w:rsid w:val="00921383"/>
    <w:rsid w:val="00923474"/>
    <w:rsid w:val="00923801"/>
    <w:rsid w:val="009242EA"/>
    <w:rsid w:val="00924E89"/>
    <w:rsid w:val="0093030A"/>
    <w:rsid w:val="009318A0"/>
    <w:rsid w:val="00931E0F"/>
    <w:rsid w:val="00933158"/>
    <w:rsid w:val="0093419F"/>
    <w:rsid w:val="00935E31"/>
    <w:rsid w:val="009362C2"/>
    <w:rsid w:val="00937040"/>
    <w:rsid w:val="00940162"/>
    <w:rsid w:val="00940CA8"/>
    <w:rsid w:val="00943914"/>
    <w:rsid w:val="00943C44"/>
    <w:rsid w:val="009442A3"/>
    <w:rsid w:val="00944380"/>
    <w:rsid w:val="009447FD"/>
    <w:rsid w:val="00945EC8"/>
    <w:rsid w:val="0095024D"/>
    <w:rsid w:val="00951428"/>
    <w:rsid w:val="00953786"/>
    <w:rsid w:val="00953ADA"/>
    <w:rsid w:val="0095563E"/>
    <w:rsid w:val="00955C68"/>
    <w:rsid w:val="0095619C"/>
    <w:rsid w:val="0095698D"/>
    <w:rsid w:val="00963BA5"/>
    <w:rsid w:val="00963ED1"/>
    <w:rsid w:val="00963FF3"/>
    <w:rsid w:val="00965D0E"/>
    <w:rsid w:val="0096682B"/>
    <w:rsid w:val="00966955"/>
    <w:rsid w:val="00967959"/>
    <w:rsid w:val="00967FC9"/>
    <w:rsid w:val="00967FD4"/>
    <w:rsid w:val="009735BE"/>
    <w:rsid w:val="0097399B"/>
    <w:rsid w:val="00974123"/>
    <w:rsid w:val="009742E2"/>
    <w:rsid w:val="0097544F"/>
    <w:rsid w:val="009776F5"/>
    <w:rsid w:val="0098034B"/>
    <w:rsid w:val="009821DF"/>
    <w:rsid w:val="00982F68"/>
    <w:rsid w:val="00983DE6"/>
    <w:rsid w:val="00985177"/>
    <w:rsid w:val="009852D7"/>
    <w:rsid w:val="009873CC"/>
    <w:rsid w:val="00990A34"/>
    <w:rsid w:val="00993894"/>
    <w:rsid w:val="00993C06"/>
    <w:rsid w:val="00993DC9"/>
    <w:rsid w:val="009954BC"/>
    <w:rsid w:val="009956E9"/>
    <w:rsid w:val="00995BFE"/>
    <w:rsid w:val="00996103"/>
    <w:rsid w:val="009963F6"/>
    <w:rsid w:val="00996573"/>
    <w:rsid w:val="00996766"/>
    <w:rsid w:val="009968F2"/>
    <w:rsid w:val="00997AE9"/>
    <w:rsid w:val="009A00FC"/>
    <w:rsid w:val="009A024E"/>
    <w:rsid w:val="009A0307"/>
    <w:rsid w:val="009A0479"/>
    <w:rsid w:val="009A28C4"/>
    <w:rsid w:val="009A32CC"/>
    <w:rsid w:val="009A3587"/>
    <w:rsid w:val="009A3792"/>
    <w:rsid w:val="009A56B3"/>
    <w:rsid w:val="009A7552"/>
    <w:rsid w:val="009A777B"/>
    <w:rsid w:val="009B0AA3"/>
    <w:rsid w:val="009B199E"/>
    <w:rsid w:val="009B2C58"/>
    <w:rsid w:val="009B2D3E"/>
    <w:rsid w:val="009B30DF"/>
    <w:rsid w:val="009B3BA4"/>
    <w:rsid w:val="009B3F9C"/>
    <w:rsid w:val="009B5321"/>
    <w:rsid w:val="009B7CFA"/>
    <w:rsid w:val="009C1D3C"/>
    <w:rsid w:val="009C3077"/>
    <w:rsid w:val="009C37D1"/>
    <w:rsid w:val="009C3CA0"/>
    <w:rsid w:val="009C3D81"/>
    <w:rsid w:val="009C4DB3"/>
    <w:rsid w:val="009C5343"/>
    <w:rsid w:val="009C61CC"/>
    <w:rsid w:val="009C6D89"/>
    <w:rsid w:val="009C706E"/>
    <w:rsid w:val="009D08FE"/>
    <w:rsid w:val="009D0947"/>
    <w:rsid w:val="009D2E91"/>
    <w:rsid w:val="009D3280"/>
    <w:rsid w:val="009D4EA8"/>
    <w:rsid w:val="009D4F49"/>
    <w:rsid w:val="009D69A7"/>
    <w:rsid w:val="009D6C15"/>
    <w:rsid w:val="009D7A05"/>
    <w:rsid w:val="009E268E"/>
    <w:rsid w:val="009E4516"/>
    <w:rsid w:val="009E732F"/>
    <w:rsid w:val="009F01F2"/>
    <w:rsid w:val="009F031E"/>
    <w:rsid w:val="009F0E9D"/>
    <w:rsid w:val="009F123B"/>
    <w:rsid w:val="009F1C3B"/>
    <w:rsid w:val="009F289C"/>
    <w:rsid w:val="009F28BE"/>
    <w:rsid w:val="009F393F"/>
    <w:rsid w:val="009F3C5D"/>
    <w:rsid w:val="009F597A"/>
    <w:rsid w:val="009F7A4F"/>
    <w:rsid w:val="00A003EC"/>
    <w:rsid w:val="00A00931"/>
    <w:rsid w:val="00A00E4C"/>
    <w:rsid w:val="00A02C75"/>
    <w:rsid w:val="00A06974"/>
    <w:rsid w:val="00A10B68"/>
    <w:rsid w:val="00A10F1B"/>
    <w:rsid w:val="00A113EE"/>
    <w:rsid w:val="00A11FB0"/>
    <w:rsid w:val="00A145CD"/>
    <w:rsid w:val="00A163F7"/>
    <w:rsid w:val="00A17D8F"/>
    <w:rsid w:val="00A17E3B"/>
    <w:rsid w:val="00A17EE7"/>
    <w:rsid w:val="00A17F74"/>
    <w:rsid w:val="00A20B75"/>
    <w:rsid w:val="00A21C7F"/>
    <w:rsid w:val="00A21D52"/>
    <w:rsid w:val="00A2210C"/>
    <w:rsid w:val="00A224BF"/>
    <w:rsid w:val="00A2437E"/>
    <w:rsid w:val="00A24B06"/>
    <w:rsid w:val="00A252C1"/>
    <w:rsid w:val="00A2571E"/>
    <w:rsid w:val="00A27049"/>
    <w:rsid w:val="00A27167"/>
    <w:rsid w:val="00A30C61"/>
    <w:rsid w:val="00A31084"/>
    <w:rsid w:val="00A31915"/>
    <w:rsid w:val="00A32F8C"/>
    <w:rsid w:val="00A3374B"/>
    <w:rsid w:val="00A34AF3"/>
    <w:rsid w:val="00A3527B"/>
    <w:rsid w:val="00A37631"/>
    <w:rsid w:val="00A41A9F"/>
    <w:rsid w:val="00A4289C"/>
    <w:rsid w:val="00A42F74"/>
    <w:rsid w:val="00A45000"/>
    <w:rsid w:val="00A476A8"/>
    <w:rsid w:val="00A478C3"/>
    <w:rsid w:val="00A514C7"/>
    <w:rsid w:val="00A51837"/>
    <w:rsid w:val="00A5206E"/>
    <w:rsid w:val="00A53D4E"/>
    <w:rsid w:val="00A5446D"/>
    <w:rsid w:val="00A56AC1"/>
    <w:rsid w:val="00A57196"/>
    <w:rsid w:val="00A572D0"/>
    <w:rsid w:val="00A5732B"/>
    <w:rsid w:val="00A5764B"/>
    <w:rsid w:val="00A60047"/>
    <w:rsid w:val="00A606F4"/>
    <w:rsid w:val="00A60F94"/>
    <w:rsid w:val="00A6122E"/>
    <w:rsid w:val="00A63AAE"/>
    <w:rsid w:val="00A648D8"/>
    <w:rsid w:val="00A64998"/>
    <w:rsid w:val="00A64D45"/>
    <w:rsid w:val="00A6607A"/>
    <w:rsid w:val="00A66202"/>
    <w:rsid w:val="00A674A2"/>
    <w:rsid w:val="00A708F3"/>
    <w:rsid w:val="00A709D1"/>
    <w:rsid w:val="00A7108C"/>
    <w:rsid w:val="00A721AC"/>
    <w:rsid w:val="00A7265A"/>
    <w:rsid w:val="00A73E27"/>
    <w:rsid w:val="00A7603D"/>
    <w:rsid w:val="00A77BAD"/>
    <w:rsid w:val="00A81242"/>
    <w:rsid w:val="00A81543"/>
    <w:rsid w:val="00A8154C"/>
    <w:rsid w:val="00A829FD"/>
    <w:rsid w:val="00A82E35"/>
    <w:rsid w:val="00A85008"/>
    <w:rsid w:val="00A850F7"/>
    <w:rsid w:val="00A86268"/>
    <w:rsid w:val="00A866BE"/>
    <w:rsid w:val="00A86FAA"/>
    <w:rsid w:val="00A87A7A"/>
    <w:rsid w:val="00A87BAD"/>
    <w:rsid w:val="00A909BD"/>
    <w:rsid w:val="00A90D4A"/>
    <w:rsid w:val="00A915F8"/>
    <w:rsid w:val="00A918F4"/>
    <w:rsid w:val="00A9232E"/>
    <w:rsid w:val="00A93675"/>
    <w:rsid w:val="00A93F27"/>
    <w:rsid w:val="00A964C9"/>
    <w:rsid w:val="00A964D7"/>
    <w:rsid w:val="00A9666F"/>
    <w:rsid w:val="00A97129"/>
    <w:rsid w:val="00A9749B"/>
    <w:rsid w:val="00A97A1E"/>
    <w:rsid w:val="00AA0250"/>
    <w:rsid w:val="00AA04B2"/>
    <w:rsid w:val="00AA0747"/>
    <w:rsid w:val="00AA0B1F"/>
    <w:rsid w:val="00AA0E2A"/>
    <w:rsid w:val="00AA10B3"/>
    <w:rsid w:val="00AA1376"/>
    <w:rsid w:val="00AA1CC0"/>
    <w:rsid w:val="00AA2912"/>
    <w:rsid w:val="00AB0653"/>
    <w:rsid w:val="00AB12EC"/>
    <w:rsid w:val="00AB194F"/>
    <w:rsid w:val="00AB1C87"/>
    <w:rsid w:val="00AB1FD3"/>
    <w:rsid w:val="00AB49A0"/>
    <w:rsid w:val="00AB4D3E"/>
    <w:rsid w:val="00AB507D"/>
    <w:rsid w:val="00AB534D"/>
    <w:rsid w:val="00AB545C"/>
    <w:rsid w:val="00AB6D1B"/>
    <w:rsid w:val="00AB7CF4"/>
    <w:rsid w:val="00AC0B84"/>
    <w:rsid w:val="00AC326C"/>
    <w:rsid w:val="00AC36D6"/>
    <w:rsid w:val="00AC38FE"/>
    <w:rsid w:val="00AC3FF5"/>
    <w:rsid w:val="00AC58CF"/>
    <w:rsid w:val="00AC6D94"/>
    <w:rsid w:val="00AC739E"/>
    <w:rsid w:val="00AD0849"/>
    <w:rsid w:val="00AD41C7"/>
    <w:rsid w:val="00AD439C"/>
    <w:rsid w:val="00AD444B"/>
    <w:rsid w:val="00AD479A"/>
    <w:rsid w:val="00AD7387"/>
    <w:rsid w:val="00AD77DB"/>
    <w:rsid w:val="00AE1080"/>
    <w:rsid w:val="00AE1E98"/>
    <w:rsid w:val="00AE40B0"/>
    <w:rsid w:val="00AE46EC"/>
    <w:rsid w:val="00AE4ECC"/>
    <w:rsid w:val="00AE511E"/>
    <w:rsid w:val="00AE51D2"/>
    <w:rsid w:val="00AE6CC1"/>
    <w:rsid w:val="00AE7741"/>
    <w:rsid w:val="00AF010B"/>
    <w:rsid w:val="00AF0D3D"/>
    <w:rsid w:val="00AF0DEA"/>
    <w:rsid w:val="00AF5A6B"/>
    <w:rsid w:val="00AF6C74"/>
    <w:rsid w:val="00AF71FC"/>
    <w:rsid w:val="00AF7D53"/>
    <w:rsid w:val="00B00EF4"/>
    <w:rsid w:val="00B0313A"/>
    <w:rsid w:val="00B0490F"/>
    <w:rsid w:val="00B05147"/>
    <w:rsid w:val="00B06518"/>
    <w:rsid w:val="00B10919"/>
    <w:rsid w:val="00B11D24"/>
    <w:rsid w:val="00B11E14"/>
    <w:rsid w:val="00B11FD2"/>
    <w:rsid w:val="00B12840"/>
    <w:rsid w:val="00B131BD"/>
    <w:rsid w:val="00B13215"/>
    <w:rsid w:val="00B135C8"/>
    <w:rsid w:val="00B13DF8"/>
    <w:rsid w:val="00B14A21"/>
    <w:rsid w:val="00B16B9F"/>
    <w:rsid w:val="00B1717E"/>
    <w:rsid w:val="00B20497"/>
    <w:rsid w:val="00B2218C"/>
    <w:rsid w:val="00B22AD9"/>
    <w:rsid w:val="00B22D00"/>
    <w:rsid w:val="00B22F72"/>
    <w:rsid w:val="00B232CF"/>
    <w:rsid w:val="00B24577"/>
    <w:rsid w:val="00B250C7"/>
    <w:rsid w:val="00B25EA3"/>
    <w:rsid w:val="00B25F6A"/>
    <w:rsid w:val="00B30059"/>
    <w:rsid w:val="00B3081C"/>
    <w:rsid w:val="00B31636"/>
    <w:rsid w:val="00B32166"/>
    <w:rsid w:val="00B32CCD"/>
    <w:rsid w:val="00B33F36"/>
    <w:rsid w:val="00B348B4"/>
    <w:rsid w:val="00B34AC6"/>
    <w:rsid w:val="00B350EA"/>
    <w:rsid w:val="00B355E2"/>
    <w:rsid w:val="00B35CEF"/>
    <w:rsid w:val="00B3628F"/>
    <w:rsid w:val="00B37410"/>
    <w:rsid w:val="00B402F9"/>
    <w:rsid w:val="00B4100E"/>
    <w:rsid w:val="00B41418"/>
    <w:rsid w:val="00B439F4"/>
    <w:rsid w:val="00B43B7D"/>
    <w:rsid w:val="00B4526F"/>
    <w:rsid w:val="00B46D15"/>
    <w:rsid w:val="00B473BA"/>
    <w:rsid w:val="00B50517"/>
    <w:rsid w:val="00B52CD2"/>
    <w:rsid w:val="00B5366F"/>
    <w:rsid w:val="00B5370A"/>
    <w:rsid w:val="00B54879"/>
    <w:rsid w:val="00B57884"/>
    <w:rsid w:val="00B5788D"/>
    <w:rsid w:val="00B57FD9"/>
    <w:rsid w:val="00B617B3"/>
    <w:rsid w:val="00B61969"/>
    <w:rsid w:val="00B639C6"/>
    <w:rsid w:val="00B6569E"/>
    <w:rsid w:val="00B663C3"/>
    <w:rsid w:val="00B66D90"/>
    <w:rsid w:val="00B673AA"/>
    <w:rsid w:val="00B71161"/>
    <w:rsid w:val="00B7157A"/>
    <w:rsid w:val="00B718AD"/>
    <w:rsid w:val="00B71F16"/>
    <w:rsid w:val="00B720A0"/>
    <w:rsid w:val="00B75FBB"/>
    <w:rsid w:val="00B761FB"/>
    <w:rsid w:val="00B7624E"/>
    <w:rsid w:val="00B762D1"/>
    <w:rsid w:val="00B7645F"/>
    <w:rsid w:val="00B771C8"/>
    <w:rsid w:val="00B80180"/>
    <w:rsid w:val="00B80F22"/>
    <w:rsid w:val="00B82B62"/>
    <w:rsid w:val="00B82ED4"/>
    <w:rsid w:val="00B83C83"/>
    <w:rsid w:val="00B859E4"/>
    <w:rsid w:val="00B86177"/>
    <w:rsid w:val="00B86876"/>
    <w:rsid w:val="00B87B01"/>
    <w:rsid w:val="00B90215"/>
    <w:rsid w:val="00B90CB2"/>
    <w:rsid w:val="00B90EB3"/>
    <w:rsid w:val="00B921E0"/>
    <w:rsid w:val="00B938AB"/>
    <w:rsid w:val="00B93E66"/>
    <w:rsid w:val="00B95672"/>
    <w:rsid w:val="00B969EC"/>
    <w:rsid w:val="00B97B60"/>
    <w:rsid w:val="00B97DFA"/>
    <w:rsid w:val="00BA167E"/>
    <w:rsid w:val="00BA32B1"/>
    <w:rsid w:val="00BA4B67"/>
    <w:rsid w:val="00BA5090"/>
    <w:rsid w:val="00BA5D3F"/>
    <w:rsid w:val="00BA6248"/>
    <w:rsid w:val="00BA64BF"/>
    <w:rsid w:val="00BA6ADC"/>
    <w:rsid w:val="00BA7F78"/>
    <w:rsid w:val="00BB11BB"/>
    <w:rsid w:val="00BB1D40"/>
    <w:rsid w:val="00BB3C85"/>
    <w:rsid w:val="00BB50CC"/>
    <w:rsid w:val="00BB5BF3"/>
    <w:rsid w:val="00BB5C79"/>
    <w:rsid w:val="00BB7443"/>
    <w:rsid w:val="00BC08A3"/>
    <w:rsid w:val="00BC0EF5"/>
    <w:rsid w:val="00BC112A"/>
    <w:rsid w:val="00BC1AC5"/>
    <w:rsid w:val="00BC471B"/>
    <w:rsid w:val="00BC4794"/>
    <w:rsid w:val="00BC4C6D"/>
    <w:rsid w:val="00BC5A78"/>
    <w:rsid w:val="00BC65BF"/>
    <w:rsid w:val="00BC6677"/>
    <w:rsid w:val="00BC67DD"/>
    <w:rsid w:val="00BC6CB4"/>
    <w:rsid w:val="00BC6E36"/>
    <w:rsid w:val="00BD1209"/>
    <w:rsid w:val="00BD12FF"/>
    <w:rsid w:val="00BD14DD"/>
    <w:rsid w:val="00BD3669"/>
    <w:rsid w:val="00BD3AE0"/>
    <w:rsid w:val="00BD5B8A"/>
    <w:rsid w:val="00BD5EC2"/>
    <w:rsid w:val="00BD6A9A"/>
    <w:rsid w:val="00BE0731"/>
    <w:rsid w:val="00BE0F24"/>
    <w:rsid w:val="00BE265D"/>
    <w:rsid w:val="00BE2F67"/>
    <w:rsid w:val="00BE3837"/>
    <w:rsid w:val="00BE3D1B"/>
    <w:rsid w:val="00BE5292"/>
    <w:rsid w:val="00BE5920"/>
    <w:rsid w:val="00BE5A40"/>
    <w:rsid w:val="00BE669B"/>
    <w:rsid w:val="00BE69AD"/>
    <w:rsid w:val="00BE6C05"/>
    <w:rsid w:val="00BE7EE3"/>
    <w:rsid w:val="00BF1091"/>
    <w:rsid w:val="00BF24A8"/>
    <w:rsid w:val="00BF3298"/>
    <w:rsid w:val="00BF3BBA"/>
    <w:rsid w:val="00BF593F"/>
    <w:rsid w:val="00BF5A8A"/>
    <w:rsid w:val="00BF5E0E"/>
    <w:rsid w:val="00C0034E"/>
    <w:rsid w:val="00C0166C"/>
    <w:rsid w:val="00C0252C"/>
    <w:rsid w:val="00C02E9F"/>
    <w:rsid w:val="00C05138"/>
    <w:rsid w:val="00C05F1E"/>
    <w:rsid w:val="00C06993"/>
    <w:rsid w:val="00C107FA"/>
    <w:rsid w:val="00C11F49"/>
    <w:rsid w:val="00C12A5C"/>
    <w:rsid w:val="00C12A9C"/>
    <w:rsid w:val="00C12BAC"/>
    <w:rsid w:val="00C12BB7"/>
    <w:rsid w:val="00C12D40"/>
    <w:rsid w:val="00C134B8"/>
    <w:rsid w:val="00C136A5"/>
    <w:rsid w:val="00C13CAE"/>
    <w:rsid w:val="00C13D0F"/>
    <w:rsid w:val="00C14B2B"/>
    <w:rsid w:val="00C14C5F"/>
    <w:rsid w:val="00C15A6A"/>
    <w:rsid w:val="00C168CE"/>
    <w:rsid w:val="00C16DF4"/>
    <w:rsid w:val="00C209AE"/>
    <w:rsid w:val="00C212DB"/>
    <w:rsid w:val="00C221D9"/>
    <w:rsid w:val="00C2230C"/>
    <w:rsid w:val="00C24BAE"/>
    <w:rsid w:val="00C252BF"/>
    <w:rsid w:val="00C26477"/>
    <w:rsid w:val="00C26BEC"/>
    <w:rsid w:val="00C27F8F"/>
    <w:rsid w:val="00C31DCC"/>
    <w:rsid w:val="00C31F5B"/>
    <w:rsid w:val="00C322FE"/>
    <w:rsid w:val="00C33849"/>
    <w:rsid w:val="00C33EF8"/>
    <w:rsid w:val="00C3490B"/>
    <w:rsid w:val="00C34DE2"/>
    <w:rsid w:val="00C3579D"/>
    <w:rsid w:val="00C358A1"/>
    <w:rsid w:val="00C3704E"/>
    <w:rsid w:val="00C4002F"/>
    <w:rsid w:val="00C40090"/>
    <w:rsid w:val="00C40682"/>
    <w:rsid w:val="00C409B7"/>
    <w:rsid w:val="00C4117A"/>
    <w:rsid w:val="00C41370"/>
    <w:rsid w:val="00C41BA7"/>
    <w:rsid w:val="00C42236"/>
    <w:rsid w:val="00C42337"/>
    <w:rsid w:val="00C453A0"/>
    <w:rsid w:val="00C453B4"/>
    <w:rsid w:val="00C45E09"/>
    <w:rsid w:val="00C46401"/>
    <w:rsid w:val="00C514F7"/>
    <w:rsid w:val="00C525E1"/>
    <w:rsid w:val="00C5295C"/>
    <w:rsid w:val="00C52F70"/>
    <w:rsid w:val="00C531B0"/>
    <w:rsid w:val="00C53643"/>
    <w:rsid w:val="00C542A0"/>
    <w:rsid w:val="00C551FC"/>
    <w:rsid w:val="00C55EA9"/>
    <w:rsid w:val="00C57CCF"/>
    <w:rsid w:val="00C57D57"/>
    <w:rsid w:val="00C6014D"/>
    <w:rsid w:val="00C6174E"/>
    <w:rsid w:val="00C638EA"/>
    <w:rsid w:val="00C63F7C"/>
    <w:rsid w:val="00C645D5"/>
    <w:rsid w:val="00C65521"/>
    <w:rsid w:val="00C65927"/>
    <w:rsid w:val="00C6594C"/>
    <w:rsid w:val="00C664C9"/>
    <w:rsid w:val="00C66A55"/>
    <w:rsid w:val="00C6772E"/>
    <w:rsid w:val="00C7034A"/>
    <w:rsid w:val="00C734E7"/>
    <w:rsid w:val="00C747B1"/>
    <w:rsid w:val="00C75F52"/>
    <w:rsid w:val="00C7609D"/>
    <w:rsid w:val="00C763D8"/>
    <w:rsid w:val="00C76913"/>
    <w:rsid w:val="00C77B5A"/>
    <w:rsid w:val="00C801F1"/>
    <w:rsid w:val="00C80B91"/>
    <w:rsid w:val="00C80BB0"/>
    <w:rsid w:val="00C81483"/>
    <w:rsid w:val="00C81692"/>
    <w:rsid w:val="00C81CDD"/>
    <w:rsid w:val="00C8221C"/>
    <w:rsid w:val="00C83594"/>
    <w:rsid w:val="00C8367E"/>
    <w:rsid w:val="00C84474"/>
    <w:rsid w:val="00C84EED"/>
    <w:rsid w:val="00C867E6"/>
    <w:rsid w:val="00C91950"/>
    <w:rsid w:val="00C91D72"/>
    <w:rsid w:val="00C9215F"/>
    <w:rsid w:val="00C93432"/>
    <w:rsid w:val="00C94445"/>
    <w:rsid w:val="00C951EB"/>
    <w:rsid w:val="00C9552E"/>
    <w:rsid w:val="00C96831"/>
    <w:rsid w:val="00C97866"/>
    <w:rsid w:val="00C97BCE"/>
    <w:rsid w:val="00CA122B"/>
    <w:rsid w:val="00CA193C"/>
    <w:rsid w:val="00CA1BAC"/>
    <w:rsid w:val="00CA1CC7"/>
    <w:rsid w:val="00CA203B"/>
    <w:rsid w:val="00CA2A9E"/>
    <w:rsid w:val="00CA32BB"/>
    <w:rsid w:val="00CA4A57"/>
    <w:rsid w:val="00CA4C33"/>
    <w:rsid w:val="00CA5F2D"/>
    <w:rsid w:val="00CB03DD"/>
    <w:rsid w:val="00CB0780"/>
    <w:rsid w:val="00CB16B0"/>
    <w:rsid w:val="00CB1BE1"/>
    <w:rsid w:val="00CB3318"/>
    <w:rsid w:val="00CB3402"/>
    <w:rsid w:val="00CB3675"/>
    <w:rsid w:val="00CB3743"/>
    <w:rsid w:val="00CB3E62"/>
    <w:rsid w:val="00CB4C0A"/>
    <w:rsid w:val="00CB4E91"/>
    <w:rsid w:val="00CB5068"/>
    <w:rsid w:val="00CB5A3E"/>
    <w:rsid w:val="00CB6DCA"/>
    <w:rsid w:val="00CB7D05"/>
    <w:rsid w:val="00CC0654"/>
    <w:rsid w:val="00CC086B"/>
    <w:rsid w:val="00CC0902"/>
    <w:rsid w:val="00CC25D9"/>
    <w:rsid w:val="00CC2FCD"/>
    <w:rsid w:val="00CC35D0"/>
    <w:rsid w:val="00CC38D2"/>
    <w:rsid w:val="00CC5237"/>
    <w:rsid w:val="00CC6BEB"/>
    <w:rsid w:val="00CC758D"/>
    <w:rsid w:val="00CD0662"/>
    <w:rsid w:val="00CD0936"/>
    <w:rsid w:val="00CD14E5"/>
    <w:rsid w:val="00CD21CB"/>
    <w:rsid w:val="00CD36D5"/>
    <w:rsid w:val="00CD3783"/>
    <w:rsid w:val="00CD3E3C"/>
    <w:rsid w:val="00CD51EE"/>
    <w:rsid w:val="00CD61AD"/>
    <w:rsid w:val="00CD69DD"/>
    <w:rsid w:val="00CD770A"/>
    <w:rsid w:val="00CD7AEF"/>
    <w:rsid w:val="00CD7E90"/>
    <w:rsid w:val="00CE172D"/>
    <w:rsid w:val="00CE24D0"/>
    <w:rsid w:val="00CE24F8"/>
    <w:rsid w:val="00CE285F"/>
    <w:rsid w:val="00CE2900"/>
    <w:rsid w:val="00CE2E4B"/>
    <w:rsid w:val="00CE2FB0"/>
    <w:rsid w:val="00CE59D4"/>
    <w:rsid w:val="00CE6E64"/>
    <w:rsid w:val="00CE77C9"/>
    <w:rsid w:val="00CF02C7"/>
    <w:rsid w:val="00CF0688"/>
    <w:rsid w:val="00CF15FC"/>
    <w:rsid w:val="00CF21CB"/>
    <w:rsid w:val="00CF3E94"/>
    <w:rsid w:val="00CF4556"/>
    <w:rsid w:val="00CF483A"/>
    <w:rsid w:val="00CF4BB8"/>
    <w:rsid w:val="00CF5BDF"/>
    <w:rsid w:val="00CF7081"/>
    <w:rsid w:val="00CF7619"/>
    <w:rsid w:val="00D02073"/>
    <w:rsid w:val="00D03212"/>
    <w:rsid w:val="00D036A8"/>
    <w:rsid w:val="00D03AE9"/>
    <w:rsid w:val="00D041FB"/>
    <w:rsid w:val="00D045E7"/>
    <w:rsid w:val="00D04853"/>
    <w:rsid w:val="00D05FB3"/>
    <w:rsid w:val="00D061A3"/>
    <w:rsid w:val="00D064E0"/>
    <w:rsid w:val="00D07ACF"/>
    <w:rsid w:val="00D07E42"/>
    <w:rsid w:val="00D102F9"/>
    <w:rsid w:val="00D1054C"/>
    <w:rsid w:val="00D108CE"/>
    <w:rsid w:val="00D11AA2"/>
    <w:rsid w:val="00D11EBD"/>
    <w:rsid w:val="00D12964"/>
    <w:rsid w:val="00D12CDC"/>
    <w:rsid w:val="00D131CF"/>
    <w:rsid w:val="00D136C0"/>
    <w:rsid w:val="00D15E5D"/>
    <w:rsid w:val="00D15EAC"/>
    <w:rsid w:val="00D15F6E"/>
    <w:rsid w:val="00D16B7E"/>
    <w:rsid w:val="00D178A0"/>
    <w:rsid w:val="00D2043B"/>
    <w:rsid w:val="00D21354"/>
    <w:rsid w:val="00D23F19"/>
    <w:rsid w:val="00D25BA5"/>
    <w:rsid w:val="00D262C9"/>
    <w:rsid w:val="00D2664C"/>
    <w:rsid w:val="00D27112"/>
    <w:rsid w:val="00D272D4"/>
    <w:rsid w:val="00D27569"/>
    <w:rsid w:val="00D301D7"/>
    <w:rsid w:val="00D31252"/>
    <w:rsid w:val="00D32CE8"/>
    <w:rsid w:val="00D33975"/>
    <w:rsid w:val="00D34163"/>
    <w:rsid w:val="00D34D29"/>
    <w:rsid w:val="00D35FF0"/>
    <w:rsid w:val="00D365C7"/>
    <w:rsid w:val="00D37E0E"/>
    <w:rsid w:val="00D4146B"/>
    <w:rsid w:val="00D42245"/>
    <w:rsid w:val="00D42A99"/>
    <w:rsid w:val="00D43BEF"/>
    <w:rsid w:val="00D43E7F"/>
    <w:rsid w:val="00D43FD7"/>
    <w:rsid w:val="00D474A3"/>
    <w:rsid w:val="00D47516"/>
    <w:rsid w:val="00D477CD"/>
    <w:rsid w:val="00D479E4"/>
    <w:rsid w:val="00D50C07"/>
    <w:rsid w:val="00D50F57"/>
    <w:rsid w:val="00D51C3B"/>
    <w:rsid w:val="00D52873"/>
    <w:rsid w:val="00D5350D"/>
    <w:rsid w:val="00D537EC"/>
    <w:rsid w:val="00D53B61"/>
    <w:rsid w:val="00D55846"/>
    <w:rsid w:val="00D55A0A"/>
    <w:rsid w:val="00D55F8F"/>
    <w:rsid w:val="00D56D83"/>
    <w:rsid w:val="00D573E9"/>
    <w:rsid w:val="00D614A7"/>
    <w:rsid w:val="00D62568"/>
    <w:rsid w:val="00D630DE"/>
    <w:rsid w:val="00D649EC"/>
    <w:rsid w:val="00D64F64"/>
    <w:rsid w:val="00D657C7"/>
    <w:rsid w:val="00D65BAA"/>
    <w:rsid w:val="00D67A98"/>
    <w:rsid w:val="00D67FEB"/>
    <w:rsid w:val="00D70393"/>
    <w:rsid w:val="00D70C27"/>
    <w:rsid w:val="00D715E3"/>
    <w:rsid w:val="00D71C8D"/>
    <w:rsid w:val="00D74079"/>
    <w:rsid w:val="00D74998"/>
    <w:rsid w:val="00D74D1F"/>
    <w:rsid w:val="00D7530F"/>
    <w:rsid w:val="00D765E9"/>
    <w:rsid w:val="00D768D4"/>
    <w:rsid w:val="00D773C7"/>
    <w:rsid w:val="00D77C18"/>
    <w:rsid w:val="00D841EC"/>
    <w:rsid w:val="00D8554E"/>
    <w:rsid w:val="00D856E1"/>
    <w:rsid w:val="00D85784"/>
    <w:rsid w:val="00D85A6E"/>
    <w:rsid w:val="00D86187"/>
    <w:rsid w:val="00D86A4C"/>
    <w:rsid w:val="00D87933"/>
    <w:rsid w:val="00D87C17"/>
    <w:rsid w:val="00D91530"/>
    <w:rsid w:val="00D931FF"/>
    <w:rsid w:val="00D933BA"/>
    <w:rsid w:val="00D93613"/>
    <w:rsid w:val="00D94050"/>
    <w:rsid w:val="00D94DC0"/>
    <w:rsid w:val="00D9500B"/>
    <w:rsid w:val="00D95C60"/>
    <w:rsid w:val="00D95D8D"/>
    <w:rsid w:val="00D968D3"/>
    <w:rsid w:val="00D97198"/>
    <w:rsid w:val="00D97289"/>
    <w:rsid w:val="00DA002D"/>
    <w:rsid w:val="00DA15D4"/>
    <w:rsid w:val="00DA19D8"/>
    <w:rsid w:val="00DA48F0"/>
    <w:rsid w:val="00DA4ED9"/>
    <w:rsid w:val="00DA547B"/>
    <w:rsid w:val="00DA5D61"/>
    <w:rsid w:val="00DA684D"/>
    <w:rsid w:val="00DA6FB0"/>
    <w:rsid w:val="00DB018F"/>
    <w:rsid w:val="00DB0FD3"/>
    <w:rsid w:val="00DB158E"/>
    <w:rsid w:val="00DB20B7"/>
    <w:rsid w:val="00DB3267"/>
    <w:rsid w:val="00DB35DD"/>
    <w:rsid w:val="00DB3600"/>
    <w:rsid w:val="00DB4F68"/>
    <w:rsid w:val="00DB50F3"/>
    <w:rsid w:val="00DB5BA1"/>
    <w:rsid w:val="00DB5D1A"/>
    <w:rsid w:val="00DB6F18"/>
    <w:rsid w:val="00DB7823"/>
    <w:rsid w:val="00DC0028"/>
    <w:rsid w:val="00DC07D5"/>
    <w:rsid w:val="00DC0827"/>
    <w:rsid w:val="00DC0B94"/>
    <w:rsid w:val="00DC18F1"/>
    <w:rsid w:val="00DC2A92"/>
    <w:rsid w:val="00DC2E46"/>
    <w:rsid w:val="00DC4040"/>
    <w:rsid w:val="00DC4636"/>
    <w:rsid w:val="00DC5276"/>
    <w:rsid w:val="00DC6322"/>
    <w:rsid w:val="00DC6746"/>
    <w:rsid w:val="00DC7BB0"/>
    <w:rsid w:val="00DC7EF2"/>
    <w:rsid w:val="00DD00BE"/>
    <w:rsid w:val="00DD0D0C"/>
    <w:rsid w:val="00DD1D59"/>
    <w:rsid w:val="00DD3C1F"/>
    <w:rsid w:val="00DD4937"/>
    <w:rsid w:val="00DD5761"/>
    <w:rsid w:val="00DD6547"/>
    <w:rsid w:val="00DD66BA"/>
    <w:rsid w:val="00DD6A6A"/>
    <w:rsid w:val="00DD6CE9"/>
    <w:rsid w:val="00DD6EB0"/>
    <w:rsid w:val="00DD7DAF"/>
    <w:rsid w:val="00DE2CFD"/>
    <w:rsid w:val="00DE321A"/>
    <w:rsid w:val="00DE3760"/>
    <w:rsid w:val="00DE3B41"/>
    <w:rsid w:val="00DE4361"/>
    <w:rsid w:val="00DE6601"/>
    <w:rsid w:val="00DE6986"/>
    <w:rsid w:val="00DE7427"/>
    <w:rsid w:val="00DE7E01"/>
    <w:rsid w:val="00DF1F85"/>
    <w:rsid w:val="00DF2CB8"/>
    <w:rsid w:val="00DF3A60"/>
    <w:rsid w:val="00DF4148"/>
    <w:rsid w:val="00DF4D35"/>
    <w:rsid w:val="00DF4ED6"/>
    <w:rsid w:val="00DF5DAA"/>
    <w:rsid w:val="00DF6AF7"/>
    <w:rsid w:val="00DF6D90"/>
    <w:rsid w:val="00E00017"/>
    <w:rsid w:val="00E00E19"/>
    <w:rsid w:val="00E012F0"/>
    <w:rsid w:val="00E029A0"/>
    <w:rsid w:val="00E035F7"/>
    <w:rsid w:val="00E03ED9"/>
    <w:rsid w:val="00E049A3"/>
    <w:rsid w:val="00E05099"/>
    <w:rsid w:val="00E06346"/>
    <w:rsid w:val="00E06761"/>
    <w:rsid w:val="00E10A6C"/>
    <w:rsid w:val="00E11B03"/>
    <w:rsid w:val="00E11BF0"/>
    <w:rsid w:val="00E128BC"/>
    <w:rsid w:val="00E12ADE"/>
    <w:rsid w:val="00E12FD8"/>
    <w:rsid w:val="00E133D6"/>
    <w:rsid w:val="00E1404C"/>
    <w:rsid w:val="00E1573F"/>
    <w:rsid w:val="00E15ADB"/>
    <w:rsid w:val="00E161E9"/>
    <w:rsid w:val="00E1690D"/>
    <w:rsid w:val="00E171B7"/>
    <w:rsid w:val="00E17715"/>
    <w:rsid w:val="00E20956"/>
    <w:rsid w:val="00E21DCA"/>
    <w:rsid w:val="00E226A8"/>
    <w:rsid w:val="00E22DB9"/>
    <w:rsid w:val="00E23AE2"/>
    <w:rsid w:val="00E25B1D"/>
    <w:rsid w:val="00E276AB"/>
    <w:rsid w:val="00E30D75"/>
    <w:rsid w:val="00E315C3"/>
    <w:rsid w:val="00E318D1"/>
    <w:rsid w:val="00E319B4"/>
    <w:rsid w:val="00E319B8"/>
    <w:rsid w:val="00E321EE"/>
    <w:rsid w:val="00E33D9F"/>
    <w:rsid w:val="00E34CA3"/>
    <w:rsid w:val="00E3570A"/>
    <w:rsid w:val="00E36528"/>
    <w:rsid w:val="00E375D1"/>
    <w:rsid w:val="00E405E2"/>
    <w:rsid w:val="00E410EF"/>
    <w:rsid w:val="00E41473"/>
    <w:rsid w:val="00E42334"/>
    <w:rsid w:val="00E4243C"/>
    <w:rsid w:val="00E4258F"/>
    <w:rsid w:val="00E43852"/>
    <w:rsid w:val="00E44D71"/>
    <w:rsid w:val="00E46128"/>
    <w:rsid w:val="00E4629B"/>
    <w:rsid w:val="00E53F38"/>
    <w:rsid w:val="00E5657C"/>
    <w:rsid w:val="00E57743"/>
    <w:rsid w:val="00E61031"/>
    <w:rsid w:val="00E612BA"/>
    <w:rsid w:val="00E61957"/>
    <w:rsid w:val="00E6279A"/>
    <w:rsid w:val="00E63354"/>
    <w:rsid w:val="00E636E2"/>
    <w:rsid w:val="00E6384C"/>
    <w:rsid w:val="00E63919"/>
    <w:rsid w:val="00E63A3D"/>
    <w:rsid w:val="00E63D42"/>
    <w:rsid w:val="00E65408"/>
    <w:rsid w:val="00E659C5"/>
    <w:rsid w:val="00E65DEF"/>
    <w:rsid w:val="00E65FC5"/>
    <w:rsid w:val="00E70168"/>
    <w:rsid w:val="00E7024C"/>
    <w:rsid w:val="00E7035E"/>
    <w:rsid w:val="00E706EB"/>
    <w:rsid w:val="00E708A1"/>
    <w:rsid w:val="00E728DD"/>
    <w:rsid w:val="00E74CE1"/>
    <w:rsid w:val="00E75218"/>
    <w:rsid w:val="00E7679F"/>
    <w:rsid w:val="00E76E56"/>
    <w:rsid w:val="00E801B3"/>
    <w:rsid w:val="00E80BD3"/>
    <w:rsid w:val="00E80D62"/>
    <w:rsid w:val="00E83006"/>
    <w:rsid w:val="00E85044"/>
    <w:rsid w:val="00E85E7A"/>
    <w:rsid w:val="00E876E5"/>
    <w:rsid w:val="00E90CD2"/>
    <w:rsid w:val="00E95739"/>
    <w:rsid w:val="00E95946"/>
    <w:rsid w:val="00EA062B"/>
    <w:rsid w:val="00EA077F"/>
    <w:rsid w:val="00EA0833"/>
    <w:rsid w:val="00EA206A"/>
    <w:rsid w:val="00EA2482"/>
    <w:rsid w:val="00EA30D4"/>
    <w:rsid w:val="00EA3AA2"/>
    <w:rsid w:val="00EA4857"/>
    <w:rsid w:val="00EA575D"/>
    <w:rsid w:val="00EA5F72"/>
    <w:rsid w:val="00EA63D1"/>
    <w:rsid w:val="00EA6F89"/>
    <w:rsid w:val="00EA727E"/>
    <w:rsid w:val="00EB05C3"/>
    <w:rsid w:val="00EB108D"/>
    <w:rsid w:val="00EB1D6E"/>
    <w:rsid w:val="00EB2880"/>
    <w:rsid w:val="00EB3776"/>
    <w:rsid w:val="00EB3933"/>
    <w:rsid w:val="00EB3BC6"/>
    <w:rsid w:val="00EB40BE"/>
    <w:rsid w:val="00EB522B"/>
    <w:rsid w:val="00EB54E1"/>
    <w:rsid w:val="00EB5C1F"/>
    <w:rsid w:val="00EB67E9"/>
    <w:rsid w:val="00EB71A4"/>
    <w:rsid w:val="00EB765D"/>
    <w:rsid w:val="00EC04C2"/>
    <w:rsid w:val="00EC0A69"/>
    <w:rsid w:val="00EC0D7B"/>
    <w:rsid w:val="00EC1846"/>
    <w:rsid w:val="00EC1D9A"/>
    <w:rsid w:val="00EC2307"/>
    <w:rsid w:val="00EC2682"/>
    <w:rsid w:val="00EC4BE9"/>
    <w:rsid w:val="00EC67D6"/>
    <w:rsid w:val="00EC736B"/>
    <w:rsid w:val="00ED00E0"/>
    <w:rsid w:val="00ED2549"/>
    <w:rsid w:val="00ED3771"/>
    <w:rsid w:val="00ED39A9"/>
    <w:rsid w:val="00ED3FFE"/>
    <w:rsid w:val="00ED4B1A"/>
    <w:rsid w:val="00ED4CDE"/>
    <w:rsid w:val="00ED7345"/>
    <w:rsid w:val="00EE1B68"/>
    <w:rsid w:val="00EE25AC"/>
    <w:rsid w:val="00EE2B3C"/>
    <w:rsid w:val="00EE40C5"/>
    <w:rsid w:val="00EE45C8"/>
    <w:rsid w:val="00EE4986"/>
    <w:rsid w:val="00EE6593"/>
    <w:rsid w:val="00EE76C3"/>
    <w:rsid w:val="00EF03D5"/>
    <w:rsid w:val="00EF1B4E"/>
    <w:rsid w:val="00EF21D4"/>
    <w:rsid w:val="00EF3DFC"/>
    <w:rsid w:val="00EF53E8"/>
    <w:rsid w:val="00EF5F65"/>
    <w:rsid w:val="00EF60B2"/>
    <w:rsid w:val="00F00DF4"/>
    <w:rsid w:val="00F00FDC"/>
    <w:rsid w:val="00F02AA4"/>
    <w:rsid w:val="00F041EC"/>
    <w:rsid w:val="00F0555A"/>
    <w:rsid w:val="00F10FBB"/>
    <w:rsid w:val="00F11F5E"/>
    <w:rsid w:val="00F121C1"/>
    <w:rsid w:val="00F1295F"/>
    <w:rsid w:val="00F12F13"/>
    <w:rsid w:val="00F132DF"/>
    <w:rsid w:val="00F13390"/>
    <w:rsid w:val="00F13A2D"/>
    <w:rsid w:val="00F146BC"/>
    <w:rsid w:val="00F14F42"/>
    <w:rsid w:val="00F15F41"/>
    <w:rsid w:val="00F1605A"/>
    <w:rsid w:val="00F162D1"/>
    <w:rsid w:val="00F16F84"/>
    <w:rsid w:val="00F17344"/>
    <w:rsid w:val="00F20392"/>
    <w:rsid w:val="00F21AD5"/>
    <w:rsid w:val="00F22FB8"/>
    <w:rsid w:val="00F23771"/>
    <w:rsid w:val="00F2385B"/>
    <w:rsid w:val="00F2400A"/>
    <w:rsid w:val="00F244D9"/>
    <w:rsid w:val="00F2497A"/>
    <w:rsid w:val="00F24A5C"/>
    <w:rsid w:val="00F26067"/>
    <w:rsid w:val="00F27D1E"/>
    <w:rsid w:val="00F27EF4"/>
    <w:rsid w:val="00F310B0"/>
    <w:rsid w:val="00F31F09"/>
    <w:rsid w:val="00F32DEA"/>
    <w:rsid w:val="00F32EE2"/>
    <w:rsid w:val="00F34669"/>
    <w:rsid w:val="00F34A85"/>
    <w:rsid w:val="00F362F1"/>
    <w:rsid w:val="00F3701A"/>
    <w:rsid w:val="00F405F5"/>
    <w:rsid w:val="00F40D15"/>
    <w:rsid w:val="00F434BE"/>
    <w:rsid w:val="00F4415A"/>
    <w:rsid w:val="00F444E6"/>
    <w:rsid w:val="00F4660F"/>
    <w:rsid w:val="00F506A5"/>
    <w:rsid w:val="00F50DEB"/>
    <w:rsid w:val="00F50EE6"/>
    <w:rsid w:val="00F51E46"/>
    <w:rsid w:val="00F522EE"/>
    <w:rsid w:val="00F53BEA"/>
    <w:rsid w:val="00F53C76"/>
    <w:rsid w:val="00F53D92"/>
    <w:rsid w:val="00F543B8"/>
    <w:rsid w:val="00F544F1"/>
    <w:rsid w:val="00F544FA"/>
    <w:rsid w:val="00F5560B"/>
    <w:rsid w:val="00F566E2"/>
    <w:rsid w:val="00F570C7"/>
    <w:rsid w:val="00F57983"/>
    <w:rsid w:val="00F60309"/>
    <w:rsid w:val="00F60396"/>
    <w:rsid w:val="00F60F1D"/>
    <w:rsid w:val="00F611DA"/>
    <w:rsid w:val="00F62397"/>
    <w:rsid w:val="00F62E0A"/>
    <w:rsid w:val="00F62E7A"/>
    <w:rsid w:val="00F63897"/>
    <w:rsid w:val="00F63AB0"/>
    <w:rsid w:val="00F63DD9"/>
    <w:rsid w:val="00F63F3C"/>
    <w:rsid w:val="00F64453"/>
    <w:rsid w:val="00F64985"/>
    <w:rsid w:val="00F66533"/>
    <w:rsid w:val="00F6741B"/>
    <w:rsid w:val="00F67EA1"/>
    <w:rsid w:val="00F7111C"/>
    <w:rsid w:val="00F71A0B"/>
    <w:rsid w:val="00F71CC1"/>
    <w:rsid w:val="00F73C31"/>
    <w:rsid w:val="00F74F31"/>
    <w:rsid w:val="00F75757"/>
    <w:rsid w:val="00F759E2"/>
    <w:rsid w:val="00F75A4A"/>
    <w:rsid w:val="00F768E4"/>
    <w:rsid w:val="00F773E2"/>
    <w:rsid w:val="00F77475"/>
    <w:rsid w:val="00F77921"/>
    <w:rsid w:val="00F80161"/>
    <w:rsid w:val="00F8027C"/>
    <w:rsid w:val="00F80638"/>
    <w:rsid w:val="00F80AB6"/>
    <w:rsid w:val="00F82551"/>
    <w:rsid w:val="00F840EA"/>
    <w:rsid w:val="00F8425B"/>
    <w:rsid w:val="00F85275"/>
    <w:rsid w:val="00F8581E"/>
    <w:rsid w:val="00F859DD"/>
    <w:rsid w:val="00F861B6"/>
    <w:rsid w:val="00F86B9A"/>
    <w:rsid w:val="00F87C8F"/>
    <w:rsid w:val="00F87CE4"/>
    <w:rsid w:val="00F90229"/>
    <w:rsid w:val="00F90363"/>
    <w:rsid w:val="00F904A3"/>
    <w:rsid w:val="00F91561"/>
    <w:rsid w:val="00F91669"/>
    <w:rsid w:val="00F94432"/>
    <w:rsid w:val="00F9596F"/>
    <w:rsid w:val="00F966C8"/>
    <w:rsid w:val="00F96718"/>
    <w:rsid w:val="00F97BD3"/>
    <w:rsid w:val="00F97F59"/>
    <w:rsid w:val="00FA0C19"/>
    <w:rsid w:val="00FA0CA1"/>
    <w:rsid w:val="00FA10C0"/>
    <w:rsid w:val="00FA1CBB"/>
    <w:rsid w:val="00FA2DC8"/>
    <w:rsid w:val="00FA2E09"/>
    <w:rsid w:val="00FA510A"/>
    <w:rsid w:val="00FA63FC"/>
    <w:rsid w:val="00FA6866"/>
    <w:rsid w:val="00FA74CB"/>
    <w:rsid w:val="00FA7508"/>
    <w:rsid w:val="00FB1C33"/>
    <w:rsid w:val="00FB1E1C"/>
    <w:rsid w:val="00FB26A0"/>
    <w:rsid w:val="00FB43CE"/>
    <w:rsid w:val="00FB535F"/>
    <w:rsid w:val="00FB5BD8"/>
    <w:rsid w:val="00FB609A"/>
    <w:rsid w:val="00FB6111"/>
    <w:rsid w:val="00FB655C"/>
    <w:rsid w:val="00FB76CD"/>
    <w:rsid w:val="00FB78CC"/>
    <w:rsid w:val="00FC0222"/>
    <w:rsid w:val="00FC0E3F"/>
    <w:rsid w:val="00FC11CF"/>
    <w:rsid w:val="00FC1D1B"/>
    <w:rsid w:val="00FC40AC"/>
    <w:rsid w:val="00FC6370"/>
    <w:rsid w:val="00FC63F6"/>
    <w:rsid w:val="00FC6CF7"/>
    <w:rsid w:val="00FC6DB1"/>
    <w:rsid w:val="00FD14FB"/>
    <w:rsid w:val="00FD2DF1"/>
    <w:rsid w:val="00FD3E54"/>
    <w:rsid w:val="00FD441D"/>
    <w:rsid w:val="00FD6183"/>
    <w:rsid w:val="00FD6A6B"/>
    <w:rsid w:val="00FD6CF4"/>
    <w:rsid w:val="00FD7248"/>
    <w:rsid w:val="00FD760F"/>
    <w:rsid w:val="00FE0B4B"/>
    <w:rsid w:val="00FE1B11"/>
    <w:rsid w:val="00FE23C1"/>
    <w:rsid w:val="00FE2963"/>
    <w:rsid w:val="00FE43D6"/>
    <w:rsid w:val="00FE518E"/>
    <w:rsid w:val="00FE57A6"/>
    <w:rsid w:val="00FE68EC"/>
    <w:rsid w:val="00FE6A31"/>
    <w:rsid w:val="00FE75A8"/>
    <w:rsid w:val="00FF052E"/>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5:docId w15:val="{DC35FA20-27F5-49DE-8611-FA352D24E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11A7"/>
    <w:pPr>
      <w:widowControl w:val="0"/>
      <w:bidi/>
      <w:spacing w:line="360" w:lineRule="auto"/>
      <w:ind w:left="340"/>
      <w:contextualSpacing/>
      <w:jc w:val="both"/>
    </w:pPr>
    <w:rPr>
      <w:rFonts w:ascii="David" w:eastAsiaTheme="minorHAnsi" w:hAnsi="David" w:cs="David"/>
      <w:sz w:val="24"/>
      <w:szCs w:val="24"/>
    </w:rPr>
  </w:style>
  <w:style w:type="paragraph" w:styleId="1">
    <w:name w:val="heading 1"/>
    <w:basedOn w:val="a"/>
    <w:next w:val="a"/>
    <w:link w:val="10"/>
    <w:uiPriority w:val="9"/>
    <w:qFormat/>
    <w:rsid w:val="002311A7"/>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2311A7"/>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2311A7"/>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2311A7"/>
    <w:pPr>
      <w:numPr>
        <w:numId w:val="2"/>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2311A7"/>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311A7"/>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2311A7"/>
    <w:pPr>
      <w:keepNext/>
      <w:keepLines/>
      <w:snapToGrid w:val="0"/>
      <w:spacing w:before="240"/>
      <w:jc w:val="center"/>
      <w:outlineLvl w:val="0"/>
    </w:pPr>
    <w:rPr>
      <w:rFonts w:ascii="Arial" w:eastAsia="Arial Unicode MS" w:hAnsi="Arial"/>
      <w:b/>
      <w:bCs/>
      <w:snapToGrid w:val="0"/>
      <w:sz w:val="20"/>
      <w:szCs w:val="26"/>
    </w:rPr>
  </w:style>
  <w:style w:type="paragraph" w:customStyle="1" w:styleId="HeadHatzaotHok4Futer">
    <w:name w:val="Head HatzaotHok4Futer"/>
    <w:basedOn w:val="HeadHatzaotHok"/>
    <w:rsid w:val="002311A7"/>
    <w:pPr>
      <w:spacing w:before="120" w:after="120"/>
    </w:pPr>
    <w:rPr>
      <w:color w:val="FF0000"/>
      <w:w w:val="80"/>
    </w:rPr>
  </w:style>
  <w:style w:type="paragraph" w:styleId="a3">
    <w:name w:val="endnote text"/>
    <w:basedOn w:val="a"/>
    <w:semiHidden/>
    <w:rsid w:val="002311A7"/>
    <w:pPr>
      <w:ind w:left="227" w:hanging="227"/>
    </w:pPr>
    <w:rPr>
      <w:sz w:val="14"/>
      <w:szCs w:val="22"/>
    </w:rPr>
  </w:style>
  <w:style w:type="paragraph" w:customStyle="1" w:styleId="TableText">
    <w:name w:val="Table Text"/>
    <w:basedOn w:val="a"/>
    <w:rsid w:val="002311A7"/>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2311A7"/>
    <w:pPr>
      <w:outlineLvl w:val="2"/>
    </w:pPr>
  </w:style>
  <w:style w:type="paragraph" w:customStyle="1" w:styleId="TableBlock">
    <w:name w:val="Table Block"/>
    <w:basedOn w:val="TableText"/>
    <w:rsid w:val="002311A7"/>
    <w:pPr>
      <w:jc w:val="both"/>
    </w:pPr>
  </w:style>
  <w:style w:type="paragraph" w:customStyle="1" w:styleId="TableHead">
    <w:name w:val="Table Head"/>
    <w:basedOn w:val="TableText"/>
    <w:rsid w:val="002311A7"/>
    <w:pPr>
      <w:jc w:val="center"/>
      <w:outlineLvl w:val="1"/>
    </w:pPr>
    <w:rPr>
      <w:b/>
      <w:bCs/>
    </w:rPr>
  </w:style>
  <w:style w:type="paragraph" w:customStyle="1" w:styleId="TableInnerSideHeading">
    <w:name w:val="Table InnerSideHeading"/>
    <w:basedOn w:val="TableSideHeading"/>
    <w:rsid w:val="002311A7"/>
    <w:pPr>
      <w:outlineLvl w:val="9"/>
    </w:pPr>
  </w:style>
  <w:style w:type="paragraph" w:customStyle="1" w:styleId="Hesber">
    <w:name w:val="Hesber"/>
    <w:basedOn w:val="a"/>
    <w:rsid w:val="002311A7"/>
    <w:pPr>
      <w:snapToGrid w:val="0"/>
      <w:ind w:left="0" w:firstLine="340"/>
    </w:pPr>
    <w:rPr>
      <w:rFonts w:ascii="Arial" w:eastAsia="Arial Unicode MS" w:hAnsi="Arial"/>
      <w:snapToGrid w:val="0"/>
      <w:sz w:val="20"/>
      <w:szCs w:val="26"/>
    </w:rPr>
  </w:style>
  <w:style w:type="paragraph" w:styleId="a4">
    <w:name w:val="footnote text"/>
    <w:basedOn w:val="a"/>
    <w:autoRedefine/>
    <w:semiHidden/>
    <w:rsid w:val="002311A7"/>
    <w:pPr>
      <w:snapToGrid w:val="0"/>
      <w:spacing w:line="240" w:lineRule="auto"/>
      <w:ind w:left="0"/>
      <w:jc w:val="left"/>
    </w:pPr>
    <w:rPr>
      <w:rFonts w:ascii="Arial" w:eastAsia="Arial Unicode MS" w:hAnsi="Arial"/>
      <w:snapToGrid w:val="0"/>
      <w:sz w:val="14"/>
      <w:szCs w:val="20"/>
    </w:rPr>
  </w:style>
  <w:style w:type="character" w:styleId="a5">
    <w:name w:val="footnote reference"/>
    <w:basedOn w:val="a0"/>
    <w:semiHidden/>
    <w:rsid w:val="002311A7"/>
    <w:rPr>
      <w:vertAlign w:val="superscript"/>
    </w:rPr>
  </w:style>
  <w:style w:type="paragraph" w:customStyle="1" w:styleId="HesberHeading">
    <w:name w:val="Hesber Heading"/>
    <w:basedOn w:val="Hesber"/>
    <w:rsid w:val="002311A7"/>
    <w:pPr>
      <w:tabs>
        <w:tab w:val="left" w:pos="624"/>
        <w:tab w:val="left" w:pos="1247"/>
      </w:tabs>
    </w:pPr>
    <w:rPr>
      <w:b/>
      <w:bCs/>
    </w:rPr>
  </w:style>
  <w:style w:type="paragraph" w:customStyle="1" w:styleId="HesberWriters">
    <w:name w:val="Hesber Writers"/>
    <w:basedOn w:val="Hesber"/>
    <w:rsid w:val="002311A7"/>
    <w:pPr>
      <w:spacing w:before="120" w:after="120"/>
      <w:ind w:left="1418"/>
      <w:jc w:val="right"/>
    </w:pPr>
    <w:rPr>
      <w:b/>
      <w:bCs/>
    </w:rPr>
  </w:style>
  <w:style w:type="paragraph" w:customStyle="1" w:styleId="Hesber1st">
    <w:name w:val="Hesber 1st"/>
    <w:basedOn w:val="Hesber"/>
    <w:rsid w:val="002311A7"/>
    <w:pPr>
      <w:tabs>
        <w:tab w:val="left" w:pos="680"/>
        <w:tab w:val="left" w:pos="1020"/>
      </w:tabs>
      <w:ind w:firstLine="0"/>
    </w:pPr>
  </w:style>
  <w:style w:type="character" w:styleId="a6">
    <w:name w:val="endnote reference"/>
    <w:basedOn w:val="a0"/>
    <w:semiHidden/>
    <w:rsid w:val="002311A7"/>
    <w:rPr>
      <w:vertAlign w:val="superscript"/>
    </w:rPr>
  </w:style>
  <w:style w:type="paragraph" w:customStyle="1" w:styleId="TableBlockOutdent">
    <w:name w:val="Table BlockOutdent"/>
    <w:basedOn w:val="TableBlock"/>
    <w:rsid w:val="002311A7"/>
    <w:pPr>
      <w:ind w:left="624" w:hanging="624"/>
    </w:pPr>
  </w:style>
  <w:style w:type="paragraph" w:styleId="a7">
    <w:name w:val="header"/>
    <w:basedOn w:val="a"/>
    <w:rsid w:val="002311A7"/>
    <w:pPr>
      <w:tabs>
        <w:tab w:val="center" w:pos="4153"/>
        <w:tab w:val="right" w:pos="8306"/>
      </w:tabs>
    </w:pPr>
  </w:style>
  <w:style w:type="paragraph" w:styleId="a8">
    <w:name w:val="footer"/>
    <w:basedOn w:val="a"/>
    <w:link w:val="a9"/>
    <w:rsid w:val="002311A7"/>
    <w:pPr>
      <w:tabs>
        <w:tab w:val="center" w:pos="4153"/>
        <w:tab w:val="right" w:pos="8306"/>
      </w:tabs>
    </w:pPr>
  </w:style>
  <w:style w:type="paragraph" w:customStyle="1" w:styleId="HeadDivreiHesber">
    <w:name w:val="Head DivreiHesber"/>
    <w:basedOn w:val="a"/>
    <w:rsid w:val="002311A7"/>
    <w:pPr>
      <w:snapToGrid w:val="0"/>
      <w:spacing w:before="360" w:after="120"/>
      <w:jc w:val="center"/>
      <w:outlineLvl w:val="1"/>
    </w:pPr>
    <w:rPr>
      <w:rFonts w:ascii="Arial" w:eastAsia="Arial Unicode MS" w:hAnsi="Arial"/>
      <w:b/>
      <w:snapToGrid w:val="0"/>
      <w:spacing w:val="40"/>
      <w:sz w:val="20"/>
      <w:szCs w:val="26"/>
    </w:rPr>
  </w:style>
  <w:style w:type="character" w:styleId="aa">
    <w:name w:val="page number"/>
    <w:basedOn w:val="a0"/>
    <w:rsid w:val="002311A7"/>
  </w:style>
  <w:style w:type="paragraph" w:customStyle="1" w:styleId="Cover1-Reshumot">
    <w:name w:val="Cover 1-Reshumot"/>
    <w:basedOn w:val="a"/>
    <w:rsid w:val="002311A7"/>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2311A7"/>
    <w:rPr>
      <w:sz w:val="36"/>
      <w:szCs w:val="52"/>
    </w:rPr>
  </w:style>
  <w:style w:type="paragraph" w:customStyle="1" w:styleId="Cover3-Haknesset">
    <w:name w:val="Cover 3-Haknesset"/>
    <w:basedOn w:val="Cover1-Reshumot"/>
    <w:rsid w:val="002311A7"/>
    <w:rPr>
      <w:b/>
      <w:bCs/>
      <w:spacing w:val="60"/>
    </w:rPr>
  </w:style>
  <w:style w:type="paragraph" w:customStyle="1" w:styleId="Cover4-Date">
    <w:name w:val="Cover 4-Date"/>
    <w:basedOn w:val="a"/>
    <w:rsid w:val="002311A7"/>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2311A7"/>
    <w:pPr>
      <w:snapToGrid w:val="0"/>
      <w:jc w:val="left"/>
    </w:pPr>
    <w:rPr>
      <w:rFonts w:ascii="Arial" w:eastAsia="Arial Unicode MS" w:hAnsi="Arial"/>
      <w:snapToGrid w:val="0"/>
      <w:sz w:val="20"/>
      <w:szCs w:val="26"/>
    </w:rPr>
  </w:style>
  <w:style w:type="character" w:customStyle="1" w:styleId="10">
    <w:name w:val="כותרת 1 תו"/>
    <w:basedOn w:val="a0"/>
    <w:link w:val="1"/>
    <w:uiPriority w:val="9"/>
    <w:rsid w:val="002311A7"/>
    <w:rPr>
      <w:rFonts w:asciiTheme="majorHAnsi" w:eastAsiaTheme="majorEastAsia" w:hAnsiTheme="majorHAnsi" w:cs="David"/>
      <w:bCs/>
      <w:sz w:val="32"/>
      <w:szCs w:val="36"/>
    </w:rPr>
  </w:style>
  <w:style w:type="paragraph" w:styleId="ab">
    <w:name w:val="TOC Heading"/>
    <w:basedOn w:val="1"/>
    <w:next w:val="a"/>
    <w:uiPriority w:val="39"/>
    <w:unhideWhenUsed/>
    <w:qFormat/>
    <w:rsid w:val="002311A7"/>
    <w:pPr>
      <w:widowControl/>
      <w:spacing w:before="120" w:after="120"/>
      <w:outlineLvl w:val="9"/>
    </w:pPr>
    <w:rPr>
      <w:rtl/>
      <w:cs/>
    </w:rPr>
  </w:style>
  <w:style w:type="paragraph" w:styleId="TOC1">
    <w:name w:val="toc 1"/>
    <w:basedOn w:val="a"/>
    <w:next w:val="a"/>
    <w:autoRedefine/>
    <w:uiPriority w:val="39"/>
    <w:unhideWhenUsed/>
    <w:rsid w:val="002311A7"/>
    <w:pPr>
      <w:tabs>
        <w:tab w:val="right" w:leader="dot" w:pos="9629"/>
      </w:tabs>
      <w:spacing w:after="100"/>
    </w:pPr>
    <w:rPr>
      <w:bCs/>
      <w:szCs w:val="22"/>
    </w:rPr>
  </w:style>
  <w:style w:type="paragraph" w:styleId="TOC2">
    <w:name w:val="toc 2"/>
    <w:basedOn w:val="a"/>
    <w:next w:val="a"/>
    <w:uiPriority w:val="39"/>
    <w:unhideWhenUsed/>
    <w:rsid w:val="002311A7"/>
    <w:pPr>
      <w:tabs>
        <w:tab w:val="right" w:leader="dot" w:pos="9628"/>
      </w:tabs>
      <w:spacing w:after="100"/>
    </w:pPr>
    <w:rPr>
      <w:szCs w:val="22"/>
    </w:rPr>
  </w:style>
  <w:style w:type="character" w:styleId="Hyperlink">
    <w:name w:val="Hyperlink"/>
    <w:basedOn w:val="a0"/>
    <w:uiPriority w:val="99"/>
    <w:unhideWhenUsed/>
    <w:rsid w:val="002311A7"/>
    <w:rPr>
      <w:color w:val="0000FF" w:themeColor="hyperlink"/>
      <w:u w:val="single"/>
    </w:rPr>
  </w:style>
  <w:style w:type="paragraph" w:styleId="TOC3">
    <w:name w:val="toc 3"/>
    <w:basedOn w:val="a"/>
    <w:next w:val="a"/>
    <w:uiPriority w:val="39"/>
    <w:unhideWhenUsed/>
    <w:rsid w:val="002311A7"/>
    <w:pPr>
      <w:numPr>
        <w:numId w:val="1"/>
      </w:numPr>
      <w:tabs>
        <w:tab w:val="right" w:leader="dot" w:pos="9629"/>
      </w:tabs>
      <w:spacing w:after="100"/>
      <w:ind w:left="811" w:hanging="357"/>
    </w:pPr>
    <w:rPr>
      <w:szCs w:val="22"/>
    </w:rPr>
  </w:style>
  <w:style w:type="paragraph" w:styleId="TOC4">
    <w:name w:val="toc 4"/>
    <w:basedOn w:val="a"/>
    <w:next w:val="a"/>
    <w:autoRedefine/>
    <w:uiPriority w:val="39"/>
    <w:unhideWhenUsed/>
    <w:qFormat/>
    <w:rsid w:val="002311A7"/>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unhideWhenUsed/>
    <w:rsid w:val="002311A7"/>
    <w:pPr>
      <w:tabs>
        <w:tab w:val="right" w:leader="dot" w:pos="9628"/>
      </w:tabs>
      <w:spacing w:after="100"/>
      <w:ind w:left="567"/>
    </w:pPr>
    <w:rPr>
      <w:szCs w:val="22"/>
    </w:rPr>
  </w:style>
  <w:style w:type="paragraph" w:styleId="TOC6">
    <w:name w:val="toc 6"/>
    <w:basedOn w:val="a"/>
    <w:next w:val="a"/>
    <w:autoRedefine/>
    <w:unhideWhenUsed/>
    <w:rsid w:val="002311A7"/>
    <w:pPr>
      <w:spacing w:after="100"/>
      <w:ind w:left="850"/>
    </w:pPr>
  </w:style>
  <w:style w:type="paragraph" w:styleId="TOC7">
    <w:name w:val="toc 7"/>
    <w:basedOn w:val="a"/>
    <w:next w:val="a"/>
    <w:autoRedefine/>
    <w:unhideWhenUsed/>
    <w:rsid w:val="002311A7"/>
    <w:pPr>
      <w:spacing w:after="100"/>
      <w:ind w:left="1020"/>
    </w:pPr>
  </w:style>
  <w:style w:type="paragraph" w:styleId="TOC8">
    <w:name w:val="toc 8"/>
    <w:basedOn w:val="a"/>
    <w:next w:val="a"/>
    <w:autoRedefine/>
    <w:unhideWhenUsed/>
    <w:rsid w:val="002311A7"/>
    <w:pPr>
      <w:spacing w:after="100"/>
      <w:ind w:left="1190"/>
    </w:pPr>
  </w:style>
  <w:style w:type="paragraph" w:styleId="TOC9">
    <w:name w:val="toc 9"/>
    <w:basedOn w:val="a"/>
    <w:next w:val="a"/>
    <w:autoRedefine/>
    <w:unhideWhenUsed/>
    <w:rsid w:val="002311A7"/>
    <w:pPr>
      <w:spacing w:after="100"/>
      <w:ind w:left="1360"/>
    </w:pPr>
  </w:style>
  <w:style w:type="character" w:customStyle="1" w:styleId="20">
    <w:name w:val="כותרת 2 תו"/>
    <w:basedOn w:val="a0"/>
    <w:link w:val="2"/>
    <w:rsid w:val="002311A7"/>
    <w:rPr>
      <w:rFonts w:asciiTheme="majorHAnsi" w:eastAsiaTheme="majorEastAsia" w:hAnsiTheme="majorHAnsi" w:cs="David"/>
      <w:bCs/>
      <w:sz w:val="26"/>
      <w:szCs w:val="36"/>
      <w:u w:val="single"/>
    </w:rPr>
  </w:style>
  <w:style w:type="character" w:customStyle="1" w:styleId="30">
    <w:name w:val="כותרת 3 תו"/>
    <w:basedOn w:val="a0"/>
    <w:link w:val="3"/>
    <w:rsid w:val="002311A7"/>
    <w:rPr>
      <w:rFonts w:asciiTheme="majorHAnsi" w:eastAsiaTheme="majorEastAsia" w:hAnsiTheme="majorHAnsi" w:cs="David"/>
      <w:sz w:val="24"/>
      <w:szCs w:val="28"/>
      <w:u w:val="double"/>
    </w:rPr>
  </w:style>
  <w:style w:type="paragraph" w:customStyle="1" w:styleId="TableHead2">
    <w:name w:val="Table Head2"/>
    <w:basedOn w:val="TableHead"/>
    <w:qFormat/>
    <w:rsid w:val="002311A7"/>
    <w:pPr>
      <w:outlineLvl w:val="9"/>
    </w:pPr>
  </w:style>
  <w:style w:type="paragraph" w:customStyle="1" w:styleId="TableSideHeading2">
    <w:name w:val="Table SideHeading2"/>
    <w:basedOn w:val="TableSideHeading"/>
    <w:autoRedefine/>
    <w:qFormat/>
    <w:rsid w:val="002311A7"/>
    <w:pPr>
      <w:keepLines w:val="0"/>
      <w:outlineLvl w:val="9"/>
    </w:pPr>
  </w:style>
  <w:style w:type="paragraph" w:customStyle="1" w:styleId="0">
    <w:name w:val="סגנון שורה ראשונה:  0  ס''מ"/>
    <w:basedOn w:val="2"/>
    <w:rsid w:val="002311A7"/>
    <w:rPr>
      <w:rFonts w:eastAsia="Times New Roman"/>
    </w:rPr>
  </w:style>
  <w:style w:type="character" w:customStyle="1" w:styleId="40">
    <w:name w:val="כותרת 4 תו"/>
    <w:basedOn w:val="a0"/>
    <w:link w:val="4"/>
    <w:uiPriority w:val="9"/>
    <w:rsid w:val="002311A7"/>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2311A7"/>
    <w:rPr>
      <w:rFonts w:ascii="David" w:eastAsiaTheme="minorHAnsi" w:hAnsi="David" w:cs="David"/>
      <w:color w:val="000000" w:themeColor="text1"/>
      <w:sz w:val="24"/>
      <w:szCs w:val="24"/>
    </w:rPr>
  </w:style>
  <w:style w:type="paragraph" w:styleId="ac">
    <w:name w:val="List Paragraph"/>
    <w:basedOn w:val="a"/>
    <w:uiPriority w:val="34"/>
    <w:qFormat/>
    <w:rsid w:val="002311A7"/>
    <w:pPr>
      <w:widowControl/>
      <w:spacing w:line="259" w:lineRule="auto"/>
    </w:pPr>
    <w:rPr>
      <w:rFonts w:asciiTheme="minorHAnsi" w:hAnsiTheme="minorHAnsi"/>
      <w:sz w:val="22"/>
    </w:rPr>
  </w:style>
  <w:style w:type="table" w:styleId="ad">
    <w:name w:val="Table Grid"/>
    <w:basedOn w:val="a1"/>
    <w:rsid w:val="002311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טבלה רגילה 11"/>
    <w:basedOn w:val="a1"/>
    <w:uiPriority w:val="41"/>
    <w:rsid w:val="0024020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2402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e">
    <w:name w:val="טבלת חקיקה"/>
    <w:basedOn w:val="a1"/>
    <w:uiPriority w:val="99"/>
    <w:rsid w:val="002311A7"/>
    <w:pPr>
      <w:jc w:val="center"/>
    </w:pPr>
    <w:rPr>
      <w:rFonts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2311A7"/>
    <w:tblPr/>
    <w:tblStylePr w:type="firstCol">
      <w:pPr>
        <w:keepNext w:val="0"/>
        <w:keepLines/>
        <w:pageBreakBefore w:val="0"/>
        <w:widowControl w:val="0"/>
        <w:suppressLineNumbers w:val="0"/>
        <w:suppressAutoHyphens w:val="0"/>
        <w:wordWrap/>
      </w:pPr>
    </w:tblStylePr>
  </w:style>
  <w:style w:type="paragraph" w:styleId="af">
    <w:name w:val="Balloon Text"/>
    <w:basedOn w:val="a"/>
    <w:link w:val="af0"/>
    <w:semiHidden/>
    <w:unhideWhenUsed/>
    <w:rsid w:val="00FB6111"/>
    <w:pPr>
      <w:spacing w:line="240" w:lineRule="auto"/>
    </w:pPr>
    <w:rPr>
      <w:rFonts w:ascii="Tahoma" w:hAnsi="Tahoma" w:cs="Tahoma"/>
      <w:sz w:val="16"/>
      <w:szCs w:val="16"/>
    </w:rPr>
  </w:style>
  <w:style w:type="character" w:customStyle="1" w:styleId="af0">
    <w:name w:val="טקסט בלונים תו"/>
    <w:basedOn w:val="a0"/>
    <w:link w:val="af"/>
    <w:semiHidden/>
    <w:rsid w:val="00FB6111"/>
    <w:rPr>
      <w:rFonts w:ascii="Tahoma" w:eastAsiaTheme="minorHAnsi" w:hAnsi="Tahoma" w:cs="Tahoma"/>
      <w:sz w:val="16"/>
      <w:szCs w:val="16"/>
    </w:rPr>
  </w:style>
  <w:style w:type="character" w:styleId="af1">
    <w:name w:val="annotation reference"/>
    <w:basedOn w:val="a0"/>
    <w:uiPriority w:val="99"/>
    <w:unhideWhenUsed/>
    <w:rsid w:val="00EB71A4"/>
    <w:rPr>
      <w:sz w:val="16"/>
      <w:szCs w:val="16"/>
    </w:rPr>
  </w:style>
  <w:style w:type="paragraph" w:styleId="af2">
    <w:name w:val="annotation text"/>
    <w:basedOn w:val="a"/>
    <w:link w:val="af3"/>
    <w:uiPriority w:val="99"/>
    <w:unhideWhenUsed/>
    <w:rsid w:val="00EB71A4"/>
    <w:pPr>
      <w:spacing w:line="240" w:lineRule="auto"/>
    </w:pPr>
    <w:rPr>
      <w:sz w:val="20"/>
      <w:szCs w:val="20"/>
    </w:rPr>
  </w:style>
  <w:style w:type="character" w:customStyle="1" w:styleId="af3">
    <w:name w:val="טקסט הערה תו"/>
    <w:basedOn w:val="a0"/>
    <w:link w:val="af2"/>
    <w:uiPriority w:val="99"/>
    <w:rsid w:val="00EB71A4"/>
    <w:rPr>
      <w:rFonts w:ascii="David" w:eastAsiaTheme="minorHAnsi" w:hAnsi="David" w:cs="David"/>
    </w:rPr>
  </w:style>
  <w:style w:type="paragraph" w:styleId="af4">
    <w:name w:val="annotation subject"/>
    <w:basedOn w:val="af2"/>
    <w:next w:val="af2"/>
    <w:link w:val="af5"/>
    <w:semiHidden/>
    <w:unhideWhenUsed/>
    <w:rsid w:val="00EB71A4"/>
    <w:rPr>
      <w:b/>
      <w:bCs/>
    </w:rPr>
  </w:style>
  <w:style w:type="character" w:customStyle="1" w:styleId="af5">
    <w:name w:val="נושא הערה תו"/>
    <w:basedOn w:val="af3"/>
    <w:link w:val="af4"/>
    <w:semiHidden/>
    <w:rsid w:val="00EB71A4"/>
    <w:rPr>
      <w:rFonts w:ascii="David" w:eastAsiaTheme="minorHAnsi" w:hAnsi="David" w:cs="David"/>
      <w:b/>
      <w:bCs/>
    </w:rPr>
  </w:style>
  <w:style w:type="paragraph" w:styleId="af6">
    <w:name w:val="Revision"/>
    <w:hidden/>
    <w:uiPriority w:val="99"/>
    <w:semiHidden/>
    <w:rsid w:val="00A27167"/>
    <w:rPr>
      <w:rFonts w:ascii="David" w:eastAsiaTheme="minorHAnsi" w:hAnsi="David" w:cs="David"/>
      <w:sz w:val="24"/>
      <w:szCs w:val="24"/>
    </w:rPr>
  </w:style>
  <w:style w:type="table" w:styleId="af7">
    <w:name w:val="Table Elegant"/>
    <w:basedOn w:val="a1"/>
    <w:rsid w:val="009209E5"/>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ruller4">
    <w:name w:val="ruller4"/>
    <w:basedOn w:val="a"/>
    <w:rsid w:val="002E5C7D"/>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customStyle="1" w:styleId="13">
    <w:name w:val="אזכור לא מזוהה1"/>
    <w:basedOn w:val="a0"/>
    <w:uiPriority w:val="99"/>
    <w:semiHidden/>
    <w:unhideWhenUsed/>
    <w:rsid w:val="00A64998"/>
    <w:rPr>
      <w:color w:val="605E5C"/>
      <w:shd w:val="clear" w:color="auto" w:fill="E1DFDD"/>
    </w:rPr>
  </w:style>
  <w:style w:type="character" w:customStyle="1" w:styleId="a9">
    <w:name w:val="כותרת תחתונה תו"/>
    <w:basedOn w:val="a0"/>
    <w:link w:val="a8"/>
    <w:rsid w:val="005D36A4"/>
    <w:rPr>
      <w:rFonts w:ascii="David" w:eastAsiaTheme="minorHAnsi" w:hAnsi="David" w:cs="David"/>
      <w:sz w:val="24"/>
      <w:szCs w:val="24"/>
    </w:rPr>
  </w:style>
  <w:style w:type="table" w:styleId="14">
    <w:name w:val="Plain Table 1"/>
    <w:basedOn w:val="a1"/>
    <w:uiPriority w:val="41"/>
    <w:rsid w:val="002311A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Grid Table 1 Light"/>
    <w:basedOn w:val="a1"/>
    <w:uiPriority w:val="46"/>
    <w:rsid w:val="002311A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8">
    <w:name w:val="Emphasis"/>
    <w:basedOn w:val="a0"/>
    <w:uiPriority w:val="20"/>
    <w:qFormat/>
    <w:rsid w:val="001105A8"/>
    <w:rPr>
      <w:i/>
      <w:iCs/>
    </w:rPr>
  </w:style>
  <w:style w:type="character" w:styleId="af9">
    <w:name w:val="Strong"/>
    <w:basedOn w:val="a0"/>
    <w:uiPriority w:val="22"/>
    <w:qFormat/>
    <w:rsid w:val="00F97BD3"/>
    <w:rPr>
      <w:b/>
      <w:bCs/>
    </w:rPr>
  </w:style>
  <w:style w:type="paragraph" w:customStyle="1" w:styleId="p00">
    <w:name w:val="p00"/>
    <w:basedOn w:val="a"/>
    <w:rsid w:val="0006480B"/>
    <w:pPr>
      <w:widowControl/>
      <w:bidi w:val="0"/>
      <w:spacing w:before="100" w:beforeAutospacing="1" w:after="100" w:afterAutospacing="1" w:line="240" w:lineRule="auto"/>
      <w:ind w:left="0"/>
      <w:contextualSpacing w:val="0"/>
      <w:jc w:val="left"/>
    </w:pPr>
    <w:rPr>
      <w:rFonts w:ascii="Times New Roman" w:eastAsia="Times New Roman" w:hAnsi="Times New Roman" w:cs="Times New Roman"/>
    </w:rPr>
  </w:style>
  <w:style w:type="character" w:customStyle="1" w:styleId="default">
    <w:name w:val="default"/>
    <w:basedOn w:val="a0"/>
    <w:rsid w:val="0006480B"/>
  </w:style>
  <w:style w:type="character" w:customStyle="1" w:styleId="21">
    <w:name w:val="אזכור לא מזוהה2"/>
    <w:basedOn w:val="a0"/>
    <w:uiPriority w:val="99"/>
    <w:semiHidden/>
    <w:unhideWhenUsed/>
    <w:rsid w:val="0023087A"/>
    <w:rPr>
      <w:color w:val="605E5C"/>
      <w:shd w:val="clear" w:color="auto" w:fill="E1DFDD"/>
    </w:rPr>
  </w:style>
  <w:style w:type="table" w:styleId="afa">
    <w:name w:val="Grid Table Light"/>
    <w:basedOn w:val="a1"/>
    <w:uiPriority w:val="40"/>
    <w:rsid w:val="001F02C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14712">
      <w:bodyDiv w:val="1"/>
      <w:marLeft w:val="0"/>
      <w:marRight w:val="0"/>
      <w:marTop w:val="0"/>
      <w:marBottom w:val="0"/>
      <w:divBdr>
        <w:top w:val="none" w:sz="0" w:space="0" w:color="auto"/>
        <w:left w:val="none" w:sz="0" w:space="0" w:color="auto"/>
        <w:bottom w:val="none" w:sz="0" w:space="0" w:color="auto"/>
        <w:right w:val="none" w:sz="0" w:space="0" w:color="auto"/>
      </w:divBdr>
    </w:div>
    <w:div w:id="324749106">
      <w:bodyDiv w:val="1"/>
      <w:marLeft w:val="0"/>
      <w:marRight w:val="0"/>
      <w:marTop w:val="0"/>
      <w:marBottom w:val="0"/>
      <w:divBdr>
        <w:top w:val="none" w:sz="0" w:space="0" w:color="auto"/>
        <w:left w:val="none" w:sz="0" w:space="0" w:color="auto"/>
        <w:bottom w:val="none" w:sz="0" w:space="0" w:color="auto"/>
        <w:right w:val="none" w:sz="0" w:space="0" w:color="auto"/>
      </w:divBdr>
    </w:div>
    <w:div w:id="644089018">
      <w:bodyDiv w:val="1"/>
      <w:marLeft w:val="0"/>
      <w:marRight w:val="0"/>
      <w:marTop w:val="0"/>
      <w:marBottom w:val="0"/>
      <w:divBdr>
        <w:top w:val="none" w:sz="0" w:space="0" w:color="auto"/>
        <w:left w:val="none" w:sz="0" w:space="0" w:color="auto"/>
        <w:bottom w:val="none" w:sz="0" w:space="0" w:color="auto"/>
        <w:right w:val="none" w:sz="0" w:space="0" w:color="auto"/>
      </w:divBdr>
    </w:div>
    <w:div w:id="864169238">
      <w:bodyDiv w:val="1"/>
      <w:marLeft w:val="0"/>
      <w:marRight w:val="0"/>
      <w:marTop w:val="0"/>
      <w:marBottom w:val="0"/>
      <w:divBdr>
        <w:top w:val="none" w:sz="0" w:space="0" w:color="auto"/>
        <w:left w:val="none" w:sz="0" w:space="0" w:color="auto"/>
        <w:bottom w:val="none" w:sz="0" w:space="0" w:color="auto"/>
        <w:right w:val="none" w:sz="0" w:space="0" w:color="auto"/>
      </w:divBdr>
    </w:div>
    <w:div w:id="1192182181">
      <w:bodyDiv w:val="1"/>
      <w:marLeft w:val="0"/>
      <w:marRight w:val="0"/>
      <w:marTop w:val="0"/>
      <w:marBottom w:val="0"/>
      <w:divBdr>
        <w:top w:val="none" w:sz="0" w:space="0" w:color="auto"/>
        <w:left w:val="none" w:sz="0" w:space="0" w:color="auto"/>
        <w:bottom w:val="none" w:sz="0" w:space="0" w:color="auto"/>
        <w:right w:val="none" w:sz="0" w:space="0" w:color="auto"/>
      </w:divBdr>
    </w:div>
    <w:div w:id="1365135380">
      <w:bodyDiv w:val="1"/>
      <w:marLeft w:val="0"/>
      <w:marRight w:val="0"/>
      <w:marTop w:val="0"/>
      <w:marBottom w:val="0"/>
      <w:divBdr>
        <w:top w:val="none" w:sz="0" w:space="0" w:color="auto"/>
        <w:left w:val="none" w:sz="0" w:space="0" w:color="auto"/>
        <w:bottom w:val="none" w:sz="0" w:space="0" w:color="auto"/>
        <w:right w:val="none" w:sz="0" w:space="0" w:color="auto"/>
      </w:divBdr>
    </w:div>
    <w:div w:id="1430661728">
      <w:bodyDiv w:val="1"/>
      <w:marLeft w:val="0"/>
      <w:marRight w:val="0"/>
      <w:marTop w:val="0"/>
      <w:marBottom w:val="0"/>
      <w:divBdr>
        <w:top w:val="none" w:sz="0" w:space="0" w:color="auto"/>
        <w:left w:val="none" w:sz="0" w:space="0" w:color="auto"/>
        <w:bottom w:val="none" w:sz="0" w:space="0" w:color="auto"/>
        <w:right w:val="none" w:sz="0" w:space="0" w:color="auto"/>
      </w:divBdr>
      <w:divsChild>
        <w:div w:id="1368414526">
          <w:marLeft w:val="0"/>
          <w:marRight w:val="0"/>
          <w:marTop w:val="0"/>
          <w:marBottom w:val="0"/>
          <w:divBdr>
            <w:top w:val="none" w:sz="0" w:space="0" w:color="auto"/>
            <w:left w:val="none" w:sz="0" w:space="0" w:color="auto"/>
            <w:bottom w:val="none" w:sz="0" w:space="0" w:color="auto"/>
            <w:right w:val="none" w:sz="0" w:space="0" w:color="auto"/>
          </w:divBdr>
        </w:div>
      </w:divsChild>
    </w:div>
    <w:div w:id="1463963667">
      <w:bodyDiv w:val="1"/>
      <w:marLeft w:val="0"/>
      <w:marRight w:val="0"/>
      <w:marTop w:val="0"/>
      <w:marBottom w:val="0"/>
      <w:divBdr>
        <w:top w:val="none" w:sz="0" w:space="0" w:color="auto"/>
        <w:left w:val="none" w:sz="0" w:space="0" w:color="auto"/>
        <w:bottom w:val="none" w:sz="0" w:space="0" w:color="auto"/>
        <w:right w:val="none" w:sz="0" w:space="0" w:color="auto"/>
      </w:divBdr>
    </w:div>
    <w:div w:id="1606956103">
      <w:bodyDiv w:val="1"/>
      <w:marLeft w:val="0"/>
      <w:marRight w:val="0"/>
      <w:marTop w:val="0"/>
      <w:marBottom w:val="0"/>
      <w:divBdr>
        <w:top w:val="none" w:sz="0" w:space="0" w:color="auto"/>
        <w:left w:val="none" w:sz="0" w:space="0" w:color="auto"/>
        <w:bottom w:val="none" w:sz="0" w:space="0" w:color="auto"/>
        <w:right w:val="none" w:sz="0" w:space="0" w:color="auto"/>
      </w:divBdr>
    </w:div>
    <w:div w:id="1705716320">
      <w:bodyDiv w:val="1"/>
      <w:marLeft w:val="0"/>
      <w:marRight w:val="0"/>
      <w:marTop w:val="0"/>
      <w:marBottom w:val="0"/>
      <w:divBdr>
        <w:top w:val="none" w:sz="0" w:space="0" w:color="auto"/>
        <w:left w:val="none" w:sz="0" w:space="0" w:color="auto"/>
        <w:bottom w:val="none" w:sz="0" w:space="0" w:color="auto"/>
        <w:right w:val="none" w:sz="0" w:space="0" w:color="auto"/>
      </w:divBdr>
    </w:div>
    <w:div w:id="197795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14.xml><?xml version="1.0" encoding="utf-8"?>
<customUI xmlns="http://schemas.microsoft.com/office/2009/07/customui">
  <ribbon startFromScratch="false">
    <tabs>
      <tab id="HakikaTab" label="תבנית החקיקה">
        <group id="New" label="חדש">
          <menu id="NewDocs" label="מסמך חדש" imageMso="SetPertWeights">
            <button id="NewTazkirDoc" label="תזכיר חוק" onAction="NewTazkirDoc" imageMso="SetPertWeights"/>
            <button id="NewDoc" label="הצעת חוק" onAction="NewDoc" imageMso="SetPertWeights"/>
            <button id="NewDraftTakanotDoc" label="טיוטת תקנות" onAction="NewDraftTakanotDoc" imageMso="SetPertWeights"/>
            <button id="NewDraftTzavimDoc" label="טיוטת צו" onAction="NewDraftTzavimDoc" imageMso="SetPertWeights"/>
            <button id="NewDraftKlalim" label="טיוטת כללים" onAction="NewDraftKlalimDoc" imageMso="SetPertWeights"/>
          </menu>
        </group>
        <group id="AddCaptionRows" label="הוספה">
          <button id="KoteretPerek" label="כותרת פרק" onAction="KoteretPerek"/>
          <button id="SeifRashi" label="סעיף ראשי ממוספר" onAction="Seif_rashi"/>
          <button id="SeifRashiPnimi" label="סעיף ראשי פנימי" onAction="SeifRashiPnimi"/>
        </group>
        <group id="AddTochenRows" label="הוספת שורות">
          <button id="RamaPnima" label="רמה פנימה" onAction="RamaPnima" imageMso="FillLeft" size="large"/>
          <button id="SameRama" label="אותה רמה" onAction="Add_Row" imageMso="FillDown" size="large"/>
          <button id="RamaAhora" label="רמה אחורה" onAction="RamaAhora" imageMso="FillRight" size="large"/>
        </group>
        <group id="Numbering" label="מספור">
          <button id="Nums1" label="(1)חדש" onAction="Nums1"/>
          <button id="Nums2" label="(א)חדש" onAction="Nums2"/>
          <button id="NumsContinue" label="(1)/(א)המשך" onAction="NumsContinue"/>
        </group>
        <group id="AddHagdaraRows" label="הגדרה">
          <button id="KtivatHagdara" label="כתיבת הגדרה" onAction="KtivatHagdara"/>
          <button id="HachlafaHosafatHagdara" label="החלפת/הוספת הגדרה" onAction="HachlafaHosafatHadgara"/>
          <button id="HemshechHagdarot" label="המשך הגדרות" onAction="HemshechHagdarot"/>
        </group>
        <group id="Remark" label="הערות שוליים">
          <button id="AddRemark" label="הוספת הערת שוליים" onAction="AddReference" imageMso="FootnoteInsert"/>
        </group>
        <group id="Styles1" label="סגנונות">
          <menu id="Styles1Menu" label="סגנונות" imageMso="TextStyle">
            <button id="StyleTochen" label="תוכן(Table Block)" onAction="StyleTochen"/>
            <button id="StyleKoteret" label="כותרת פרק/סימן(Table Head)" onAction="StyleKoteret"/>
            <button id="StyleKoteretZidit" label="כותרת שוליים(Table SideHeading)" onAction="StyleKoteretZidit"/>
            <button id="StyleKoteretZiditPnimit" label="כותרת שוליים פנימית(Table InnerSideHeading)" onAction="StyleKoteretZiditPnimit"/>
            <button id="StyleHagdara" label="הגדרה(Table BlockOutdent)" onAction="StyleHagdara"/>
            <button id="StyleTableText" label="תא קטן(Table Text)" onAction="StyleTableText"/>
            <button id="StyleHearotShulaim" label="הערות שוליים (טקסט הערות שוליים)" onAction="StyleHearotShulaim"/>
          </menu>
        </group>
        <group id="Styles2" label="סגנונות דברי הסבר">
          <menu id="StyleHesberMenu" label="סגנונות דברי ההסבר" imageMso="TextStyle">
            <button id="StyleKoteretDivreiHesber" label="כותרת דברי ההסבר(Head DivreiHesber)" onAction="StyleKoteretDivreiHesber"/>
            <button id="StyleDivreiHesberPiska1" label="דברי הסבר פסקה1(Hesber 1st)" onAction="StyleDivreiHesberPiska1"/>
            <button id="StyleDivreiHesber" label="דברי הסבר פסקת המשך(Hesber)" onAction="StyleDivreiHesber"/>
            <button id="StyleHesberWriters" label="יוזמי הצעת חוק פרטית(HesberWriters)" onAction="StyleHesberWriters"/>
          </menu>
        </group>
        <group id="Accessories" label="עזרים">
          <menu id="AccessoriesMenu" label="עזרים" imageMso="ConnectionSettings">
            <button id="FixCell" label="תיקון טאבים בתא" onAction="FixCell"/>
            <button id="FixRow" label="יישור עמודות בשורה" onAction="FixRow"/>
            <button id="ChangeToHighLevel" label="הגדל רמה" onAction="ChangeToHighLevel" imageMso="OutlinePromoteToHeading"/>
            <button id="ChangeToLowLevel" label="הקטן רמה" onAction="ChangeToLowLevel" imageMso="OutlineDemoteToBodyText"/>
            <button id="AddTableInTable" label="הוספת טבלה מקוננת" onAction="AddTableInTable"/>
            <button id="MargeToTohen" label="מיזוג לתוכן(TableBlock)" onAction="MargeCellsTableBlock"/>
            <button id="MargeTOHagdara" label="מיזוג להגדרה(TableBlockOutdent)" onAction="MargeCellsTableBlockOutdent"/>
            <button id="MargeToKoteretShulaimPnimit" label="מיזוג לכותרת שוליים פנימית(TableInnerSideHeading)" onAction="MargeCellsMarksTableInnerSideHeading"/>
            <button id="Basis" label="שורת בסיס" onAction="Basis"/>
          </menu>
        </group>
        <group label="כלים מתקדמים" id="AdvanceTools">
          <menu id="AdvanceToolsMenu" label="כלים מתקדמים" imageMso="ToolboxGallery">
            <button id="FixAll" label="תיקון משולב של הטבלה" onAction="FixAll"/>
            <button id="SplitCells" label="1) פיצול תאים ממוזגים אנכית" onAction="SplitCells"/>
            <button id="DelEnters" label="2) מחיקת מעברי שורה" onAction="DelEnters"/>
            <button id="FixStyles" label="3) תיקון סגנונות" onAction="FixStyles"/>
            <button id="FixColums" label="4) תיקון עמודות" onAction="FixColums"/>
            <button id="FixFootnotesNumbers" label="תיקון מספור הערות שוליים" onAction="FixFootnotesNumbers"/>
            <button id="DelSpaces" label="מחיקת רווחים כפולים" onAction="DelSpaces"/>
            <button id="ImportStyles" label="ייבוא כל סגנונות חקיקה למסמך" onAction="ImpStyles"/>
            <button id="MoveDown" label="גזור מנקודה זו לפיסקה מטה" onAction="MoveDown"/>
            <button id="DellCaptionStylesFromMorTables" label="איפוס סגנונות בהסתייגויות" onAction="DellCaptionStylesFromMorTables"/>
            <button id="NumbersToText" label="המרת מספור לטקסט(בית דפוס)" onAction="NumbersToText"/>
          </menu>
        </group>
        <group id="Accessibility" label="הנגשה">
          <button id="AddContentMenue" label="תוכן עניינים" onAction="TochenM" size="large" imageMso="SmartArtChangeColorsGallery"/>
        </group>
        <group id="HelpTemplate" label="עזרה v16r2">
          <menu id="HelpMenu" label="עזרה" imageMso="Info">
            <button id="AboutTemplate" label="אודות" imageMso="Info" onAction="About"/>
            <button id="SupportTemplate" label="תמיכה" imageMso="Help" onAction="Support"/>
            <button id="OpenHakikaUrl" label="פתיחת אתר התבנית" imageMso="OpenWebsiteInBrowser" onAction="OpenHakikaUrl"/>
            <button id="HakikaGuide" label="פתיחת מדריך התבנית" imageMso="OpenWebsiteInBrowser" onAction="OpenHakikaGuide"/>
          </menu>
        </group>
      </tab>
    </tabs>
  </ribbon>
  <contextMenus>
    <contextMenu idMso="ContextMenuText">
      <menuSeparator id="MyTextSeparator"/>
      <toggleButton id="MishpatitConTextMenu" label="תבנית החקיקה"/>
      <menu id="NewDocsConMenu" label="מסמך חדש" imageMso="SetPertWeights">
        <button id="NewTazkirDocCon" label="תזכיר חוק" onAction="NewTazkirDoc" imageMso="SetPertWeights"/>
        <button id="NewDocCon" label="הצעת חוק" onAction="NewDoc" imageMso="SetPertWeights"/>
        <button id="NewDraftTakanotDocCon" label="טיוטת תקנות" onAction="NewDraftTakanotDoc" imageMso="SetPertWeights"/>
        <button id="NewDraftTzavimDocCon" label="טיוטת צו" onAction="NewDraftTzavimDoc" imageMso="SetPertWeights"/>
        <button id="NewDraftKlalimCon" label="טיוטת כללים" onAction="NewDraftKlalimDoc" imageMso="SetPertWeights"/>
      </menu>
      <menu id="Styles2ConMenu" label="סגנונות דברי הסבר" imageMso="TextStyle">
        <button id="StyleKoteretDivreiHesberCon" label="כותרת דברי ההסבר(Head DivreiHesber)" onAction="StyleKoteretDivreiHesber"/>
        <button id="StyleDivreiHesberPiska1Con" label="דברי הסבר פסקה1(Hesber 1st)" onAction="StyleDivreiHesberPiska1"/>
        <button id="StyleDivreiHesberCon" label="דברי הסבר פסקת המשך(Hesber)" onAction="StyleDivreiHesber"/>
        <button id="StyleHesberWritersCon" label="יוזמי הצעת חוק פרטית(HesberWriters)" onAction="StyleHesberWriters"/>
      </menu>
    </contextMenu>
    <contextMenu idMso="ContextMenuTextTable">
      <menuSeparator id="MyTableSeparator"/>
      <toggleButton id="MishpatitConTableMenu" label="תבנית החקיקה" imageMso="SetPertWeights"/>
      <menu id="AddonsConMenu" label="הוספה" imageMso="InsertCutCells">
        <button id="KoteretPerekCon" label="כותרת פרק" onAction="KoteretPerek"/>
        <button id="SeifRashiCon" label="סעיף ראשי ממוספר" onAction="Seif_rashi"/>
        <button id="SeifRashiPnimiCon" label="סעיף ראשי פנימי" onAction="SeifRashiPnimi"/>
        <button id="RamaPnimaCon" label="רמה פנימה" onAction="RamaPnima" imageMso="FillLeft"/>
        <button id="SameRamaCon" label="אותה רמה" onAction="Add_Row" imageMso="FillDown"/>
        <button id="RamaAhoraCon" label="רמה אחורה" onAction="RamaAhora" imageMso="FillRight"/>
      </menu>
      <menu id="NumberingCon" label="מספור">
        <button id="Nums1Con" label="(1)חדש" onAction="Nums1"/>
        <button id="Nums2Con" label="(א)חדש" onAction="Nums2"/>
        <button id="NumsContinueCon" label="(1)/(א)המשך" onAction="NumsContinue"/>
      </menu>
      <menu id="Styles1ConMenu" label="סגנונות" imageMso="TextStyle">
        <button id="StyleTochenCon" label="תוכן(Table Block)" onAction="StyleTochen"/>
        <button id="StyleKoteretCon" label="כותרת פרק/סימן(Table Head)" onAction="StyleKoteret"/>
        <button id="StyleKoteretZiditCon" label="כותרת שוליים(Table SideHeading)" onAction="StyleKoteretZidit"/>
        <button id="StyleKoteretZiditPnimitCon" label="כותרת שוליים פנימית(Table InnerSideHeading)" onAction="StyleKoteretZiditPnimit"/>
        <button id="StyleHagdaraCon" label="הגדרה(Table BlockOutdent)" onAction="StyleHagdara"/>
        <button id="StyleTableTextCon" label="תא קטן(&quot;Table Text&quot;)" onAction="StyleTableText"/>
        <button id="StyleHearotShulaimCon" label="הערת שוליים (טקסט הערות שוליים)" onAction="StyleHearotShulaim"/>
      </menu>
      <menu id="AccessoriesConMenu" label="עזרים" imageMso="ConnectionSettings">
        <button id="FixCellCon" label="תיקון טאבים בתא" onAction="FixCell"/>
        <button id="FixRowCon" label="יישור עמודות בשורה" onAction="FixRow"/>
        <button id="AddTableInTableCon" label="הוספת טבלה מקוננת" onAction="AddTableInTable"/>
        <button id="ChangeToHighLevelCon" label="הגדל רמה" onAction="ChangeToHighLevel" imageMso="OutlinePromoteToHeading"/>
        <button id="ChangeToLowLevelCon" label="הקטן רמה" onAction="ChangeToLowLevel" imageMso="OutlineDemoteToBodyText"/>
        <button id="BasisCon" label="שורת בסיס" onAction="Basis"/>
        <button id="MargeToTohenCon" label="מיזוג לתוכן(TableBlock)" onAction="MargeCellsTableBlock"/>
        <button id="MargeTOHagdaraCon" label="מיזוג להגדרה(TableBlockOutdent)" onAction="MargeCellsTableBlockOutdent"/>
        <button id="MargeToKoteretShulaimPnimitCon" label="מיזוג לכותרת שוליים פנימית(TableInnerSideHeading)" onAction="MargeCellsMarksTableInnerSideHeading"/>
      </menu>
    </contextMenu>
    <contextMenu idMso="ContextMenuListTable">
      <menuSeparator id="MyTableListSeparator"/>
      <toggleButton id="MishpatitConTableListMenu" label="תבנית החקיקה" imageMso="SetPertWeights"/>
      <menu id="AddonsConListMenu" label="הוספה" imageMso="InsertCutCells">
        <button id="KoteretPerekConList" label="כותרת פרק" onAction="KoteretPerek"/>
        <button id="SeifRashiConList" label="סעיף ראשי ממוספר" onAction="Seif_rashi"/>
        <button id="SeifRashiPnimiConList" label="סעיף ראשי פנימי" onAction="SeifRashiPnimi"/>
        <button id="RamaPnimaConList" label="רמה פנימה" onAction="RamaPnima" imageMso="FillLeft"/>
        <button id="SameRamaConList" label="אותה רמה" onAction="Add_Row" imageMso="FillDown"/>
        <button id="RamaAhoraConList" label="רמה אחורה" onAction="RamaAhora" imageMso="FillRight"/>
      </menu>
      <menu id="NumberingConList" label="מספור">
        <button id="Nums1ConList" label="(1)חדש" onAction="Nums1"/>
        <button id="Nums2ConList" label="(א)חדש" onAction="Nums2"/>
        <button id="NumsContinueConList" label="(1)/(א)המשך" onAction="NumsContinue"/>
      </menu>
      <menu id="Styles1ConMenuList" label="סגנונות" imageMso="TextStyle">
        <button id="StyleTochenConList" label="תוכן(Table Block)" onAction="StyleTochen"/>
        <button id="StyleKoteretConList" label="כותרת פרק/סימן(Table Head)" onAction="StyleKoteret"/>
        <button id="StyleKoteretZiditConList" label="כותרת שוליים(Table SideHeading)" onAction="StyleKoteretZidit"/>
        <button id="StyleKoteretZiditPnimitConList" label="כותרת שוליים פנימית(Table InnerSideHeading)" onAction="StyleKoteretZiditPnimit"/>
        <button id="StyleHagdaraConList" label="הגדרה(Table BlockOutdent)" onAction="StyleHagdara"/>
        <button id="StyleTableTextConList" label="תא קטן(&quot;Table Text&quot;)" onAction="StyleTableText"/>
        <button id="StyleHearotShulaimConList" label="הערת שוליים (טקסט הערות שוליים)" onAction="StyleHearotShulaim"/>
      </menu>
      <menu id="AccessoriesConListMenu" label="עזרים" imageMso="ConnectionSettings">
        <button id="FixCellConList" label="תיקון טאבים בתא" onAction="FixCell"/>
        <button id="FixRowConList" label="יישור עמודות בשורה" onAction="FixRow"/>
        <button id="AddTableInTableConList" label="הוספת טבלה מקוננת" onAction="AddTableInTable"/>
        <button id="ChangeToHighLevelConList" label="הגדל רמה" onAction="ChangeToHighLevel" imageMso="OutlinePromoteToHeading"/>
        <button id="ChangeToLowLevelConList" label="הקטן רמה" onAction="ChangeToLowLevel" imageMso="OutlineDemoteToBodyText"/>
        <button id="BasisConList" label="שורת בסיס" onAction="Basis"/>
        <button id="MargeToTohenConList" label="מיזוג לתוכן(TableBlock)" onAction="MargeCellsTableBlock"/>
        <button id="MargeTOHagdaraConList" label="מיזוג להגדרה(TableBlockOutdent)" onAction="MargeCellsTableBlockOutdent"/>
        <button id="MargeToKoteretShulaimPnimitConList" label="מיזוג לכותרת שוליים פנימית(TableInnerSideHeading)" onAction="MargeCellsMarksTableInnerSideHeading"/>
      </menu>
    </contextMenu>
  </contextMenus>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Props1.xml><?xml version="1.0" encoding="utf-8"?>
<ds:datastoreItem xmlns:ds="http://schemas.openxmlformats.org/officeDocument/2006/customXml" ds:itemID="{CBF0B4BB-F198-4CCB-8BAE-A2DA8A27F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2643</Words>
  <Characters>12796</Characters>
  <Application>Microsoft Office Word</Application>
  <DocSecurity>4</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בנימין ארביב</dc:creator>
  <cp:lastModifiedBy>שי שלף</cp:lastModifiedBy>
  <cp:revision>2</cp:revision>
  <cp:lastPrinted>2020-11-29T14:30:00Z</cp:lastPrinted>
  <dcterms:created xsi:type="dcterms:W3CDTF">2023-02-26T21:00:00Z</dcterms:created>
  <dcterms:modified xsi:type="dcterms:W3CDTF">2023-02-26T21:00:00Z</dcterms:modified>
</cp:coreProperties>
</file>