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יהודים חרדים שואבים מים</w:t>
      </w:r>
    </w:p>
    <w:p>
      <w:r>
        <w:t>סגנון ריאליסטי:</w:t>
      </w:r>
    </w:p>
    <w:p>
      <w:r>
        <w:drawing>
          <wp:inline xmlns:a="http://schemas.openxmlformats.org/drawingml/2006/main" xmlns:pic="http://schemas.openxmlformats.org/drawingml/2006/picture">
            <wp:extent cx="4114800" cy="41148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_photograph_captures_two_Hasidic_Jewish_men_drawi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114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סגנון איור:</w:t>
      </w:r>
    </w:p>
    <w:p>
      <w:r>
        <w:drawing>
          <wp:inline xmlns:a="http://schemas.openxmlformats.org/drawingml/2006/main" xmlns:pic="http://schemas.openxmlformats.org/drawingml/2006/picture">
            <wp:extent cx="4114800" cy="41148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_hand-drawn_ink_illustration_depicts_two_Hasidic_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114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סגנון איור צבעוני:</w:t>
      </w:r>
    </w:p>
    <w:p>
      <w:r>
        <w:drawing>
          <wp:inline xmlns:a="http://schemas.openxmlformats.org/drawingml/2006/main" xmlns:pic="http://schemas.openxmlformats.org/drawingml/2006/picture">
            <wp:extent cx="4114800" cy="41148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_traditional_illustration_in_a_semi-realistic_sty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1148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