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0"/>
        <w:jc w:val="center"/>
      </w:pPr>
      <w:r>
        <w:rPr>
          <w:rFonts w:ascii="Arial" w:cs="Arial" w:eastAsia="Arial" w:hAnsi="Arial"/>
          <w:b/>
          <w:bCs/>
          <w:sz w:val="48"/>
          <w:szCs w:val="48"/>
        </w:rPr>
        <w:t xml:space="preserve">ממיר המספרים העברי - מדריך למשתמש</w:t>
      </w:r>
    </w:p>
    <w:p>
      <w:pPr>
        <w:spacing w:after="300"/>
        <w:jc w:val="center"/>
      </w:pPr>
      <w:r>
        <w:rPr>
          <w:rFonts w:ascii="Arial" w:cs="Arial" w:eastAsia="Arial" w:hAnsi="Arial"/>
          <w:i/>
          <w:iCs/>
          <w:sz w:val="28"/>
          <w:szCs w:val="28"/>
        </w:rPr>
        <w:t xml:space="preserve">Hebrew Number Converter for InDesign</w:t>
      </w:r>
    </w:p>
    <w:p>
      <w:pPr>
        <w:pStyle w:val="Heading1"/>
      </w:pPr>
      <w:r>
        <w:t xml:space="preserve">סיכום מעלות הסקריפט</w:t>
      </w:r>
    </w:p>
    <w:p>
      <w:pPr>
        <w:pStyle w:val="Heading2"/>
      </w:pPr>
      <w:r>
        <w:t xml:space="preserve">יכולות המרה</w:t>
      </w:r>
    </w:p>
    <w:p>
      <w:pPr>
        <w:pStyle w:val="ListParagraph"/>
        <w:numPr>
          <w:ilvl w:val="0"/>
          <w:numId w:val="2"/>
        </w:numPr>
        <w:jc w:val="right"/>
      </w:pPr>
      <w:r>
        <w:rPr>
          <w:rFonts w:ascii="Arial" w:cs="Arial" w:eastAsia="Arial" w:hAnsi="Arial"/>
        </w:rPr>
        <w:t xml:space="preserve">המרת אותיות עבריות למספרים (א→1, י→10, ק→100 וכו')</w:t>
      </w:r>
    </w:p>
    <w:p>
      <w:pPr>
        <w:pStyle w:val="ListParagraph"/>
        <w:numPr>
          <w:ilvl w:val="0"/>
          <w:numId w:val="2"/>
        </w:numPr>
        <w:jc w:val="right"/>
      </w:pPr>
      <w:r>
        <w:rPr>
          <w:rFonts w:ascii="Arial" w:cs="Arial" w:eastAsia="Arial" w:hAnsi="Arial"/>
        </w:rPr>
        <w:t xml:space="preserve">המרת מספרים לאותיות עבריות (1→א, 10→י, 100→ק וכו')</w:t>
      </w:r>
    </w:p>
    <w:p>
      <w:pPr>
        <w:pStyle w:val="ListParagraph"/>
        <w:numPr>
          <w:ilvl w:val="0"/>
          <w:numId w:val="2"/>
        </w:numPr>
        <w:jc w:val="right"/>
      </w:pPr>
      <w:r>
        <w:rPr>
          <w:rFonts w:ascii="Arial" w:cs="Arial" w:eastAsia="Arial" w:hAnsi="Arial"/>
        </w:rPr>
        <w:t xml:space="preserve">תמיכה במספרים עד 9999</w:t>
      </w:r>
    </w:p>
    <w:p>
      <w:pPr>
        <w:pStyle w:val="ListParagraph"/>
        <w:numPr>
          <w:ilvl w:val="0"/>
          <w:numId w:val="2"/>
        </w:numPr>
        <w:jc w:val="right"/>
      </w:pPr>
      <w:r>
        <w:rPr>
          <w:rFonts w:ascii="Arial" w:cs="Arial" w:eastAsia="Arial" w:hAnsi="Arial"/>
        </w:rPr>
        <w:t xml:space="preserve">טיפול מיוחד ב-15 ו-16 (ט"ו וט"ז במקום י"ה וי"ו)</w:t>
      </w:r>
    </w:p>
    <w:p>
      <w:pPr>
        <w:pStyle w:val="ListParagraph"/>
        <w:numPr>
          <w:ilvl w:val="0"/>
          <w:numId w:val="2"/>
        </w:numPr>
        <w:jc w:val="right"/>
      </w:pPr>
      <w:r>
        <w:rPr>
          <w:rFonts w:ascii="Arial" w:cs="Arial" w:eastAsia="Arial" w:hAnsi="Arial"/>
        </w:rPr>
        <w:t xml:space="preserve">זיהוי אוטומטי של אותיות סופיות (ך, ם, ן, ף, ץ)</w:t>
      </w:r>
    </w:p>
    <w:p>
      <w:pPr>
        <w:pStyle w:val="Heading2"/>
      </w:pPr>
      <w:r>
        <w:t xml:space="preserve">ניהול סגנונות תו</w:t>
      </w:r>
    </w:p>
    <w:p>
      <w:pPr>
        <w:pStyle w:val="ListParagraph"/>
        <w:numPr>
          <w:ilvl w:val="0"/>
          <w:numId w:val="2"/>
        </w:numPr>
        <w:jc w:val="right"/>
      </w:pPr>
      <w:r>
        <w:rPr>
          <w:rFonts w:ascii="Arial" w:cs="Arial" w:eastAsia="Arial" w:hAnsi="Arial"/>
        </w:rPr>
        <w:t xml:space="preserve">חיפוש GREP חכם להחלת סגנון תו</w:t>
      </w:r>
    </w:p>
    <w:p>
      <w:pPr>
        <w:pStyle w:val="ListParagraph"/>
        <w:numPr>
          <w:ilvl w:val="0"/>
          <w:numId w:val="2"/>
        </w:numPr>
        <w:jc w:val="right"/>
      </w:pPr>
      <w:r>
        <w:rPr>
          <w:rFonts w:ascii="Arial" w:cs="Arial" w:eastAsia="Arial" w:hAnsi="Arial"/>
        </w:rPr>
        <w:t xml:space="preserve">סנכרון אוטומטי עם סגנונות התו במסמך</w:t>
      </w:r>
    </w:p>
    <w:p>
      <w:pPr>
        <w:pStyle w:val="ListParagraph"/>
        <w:numPr>
          <w:ilvl w:val="0"/>
          <w:numId w:val="2"/>
        </w:numPr>
        <w:jc w:val="right"/>
      </w:pPr>
      <w:r>
        <w:rPr>
          <w:rFonts w:ascii="Arial" w:cs="Arial" w:eastAsia="Arial" w:hAnsi="Arial"/>
        </w:rPr>
        <w:t xml:space="preserve">יצירה אוטומטית של סגנון תו אם לא קיים</w:t>
      </w:r>
    </w:p>
    <w:p>
      <w:pPr>
        <w:pStyle w:val="Heading2"/>
      </w:pPr>
      <w:r>
        <w:t xml:space="preserve">מערכת פרופילים</w:t>
      </w:r>
    </w:p>
    <w:p>
      <w:pPr>
        <w:pStyle w:val="ListParagraph"/>
        <w:numPr>
          <w:ilvl w:val="0"/>
          <w:numId w:val="2"/>
        </w:numPr>
        <w:jc w:val="right"/>
      </w:pPr>
      <w:r>
        <w:rPr>
          <w:rFonts w:ascii="Arial" w:cs="Arial" w:eastAsia="Arial" w:hAnsi="Arial"/>
        </w:rPr>
        <w:t xml:space="preserve">שמירת תבניות GREP לשימוש חוזר</w:t>
      </w:r>
    </w:p>
    <w:p>
      <w:pPr>
        <w:pStyle w:val="ListParagraph"/>
        <w:numPr>
          <w:ilvl w:val="0"/>
          <w:numId w:val="2"/>
        </w:numPr>
        <w:jc w:val="right"/>
      </w:pPr>
      <w:r>
        <w:rPr>
          <w:rFonts w:ascii="Arial" w:cs="Arial" w:eastAsia="Arial" w:hAnsi="Arial"/>
        </w:rPr>
        <w:t xml:space="preserve">טעינה, עריכה ומחיקה של פרופילים</w:t>
      </w:r>
    </w:p>
    <w:p>
      <w:pPr>
        <w:pStyle w:val="ListParagraph"/>
        <w:numPr>
          <w:ilvl w:val="0"/>
          <w:numId w:val="2"/>
        </w:numPr>
        <w:jc w:val="right"/>
      </w:pPr>
      <w:r>
        <w:rPr>
          <w:rFonts w:ascii="Arial" w:cs="Arial" w:eastAsia="Arial" w:hAnsi="Arial"/>
        </w:rPr>
        <w:t xml:space="preserve">שמירה קבועה בקובץ JSON</w:t>
      </w:r>
    </w:p>
    <w:p>
      <w:pPr>
        <w:pStyle w:val="Heading2"/>
      </w:pPr>
      <w:r>
        <w:t xml:space="preserve">יתרונות נוספים</w:t>
      </w:r>
    </w:p>
    <w:p>
      <w:pPr>
        <w:pStyle w:val="ListParagraph"/>
        <w:numPr>
          <w:ilvl w:val="0"/>
          <w:numId w:val="2"/>
        </w:numPr>
        <w:jc w:val="right"/>
      </w:pPr>
      <w:r>
        <w:rPr>
          <w:rFonts w:ascii="Arial" w:cs="Arial" w:eastAsia="Arial" w:hAnsi="Arial"/>
        </w:rPr>
        <w:t xml:space="preserve">תמיכה מלאה ב-Undo (ביטול פעולה)</w:t>
      </w:r>
    </w:p>
    <w:p>
      <w:pPr>
        <w:pStyle w:val="ListParagraph"/>
        <w:numPr>
          <w:ilvl w:val="0"/>
          <w:numId w:val="2"/>
        </w:numPr>
        <w:jc w:val="right"/>
      </w:pPr>
      <w:r>
        <w:rPr>
          <w:rFonts w:ascii="Arial" w:cs="Arial" w:eastAsia="Arial" w:hAnsi="Arial"/>
        </w:rPr>
        <w:t xml:space="preserve">סרגל התקדמות בזמן אמת</w:t>
      </w:r>
    </w:p>
    <w:p>
      <w:pPr>
        <w:pStyle w:val="ListParagraph"/>
        <w:numPr>
          <w:ilvl w:val="0"/>
          <w:numId w:val="2"/>
        </w:numPr>
        <w:jc w:val="right"/>
      </w:pPr>
      <w:r>
        <w:rPr>
          <w:rFonts w:ascii="Arial" w:cs="Arial" w:eastAsia="Arial" w:hAnsi="Arial"/>
        </w:rPr>
        <w:t xml:space="preserve">חלון צף (Palette) שנשאר פתוח</w:t>
      </w:r>
    </w:p>
    <w:p>
      <w:pPr>
        <w:pStyle w:val="ListParagraph"/>
        <w:numPr>
          <w:ilvl w:val="0"/>
          <w:numId w:val="2"/>
        </w:numPr>
        <w:jc w:val="right"/>
      </w:pPr>
      <w:r>
        <w:rPr>
          <w:rFonts w:ascii="Arial" w:cs="Arial" w:eastAsia="Arial" w:hAnsi="Arial"/>
        </w:rPr>
        <w:t xml:space="preserve">שלושה מצבי חיפוש: מסמך, Story, בחירה</w:t>
      </w:r>
    </w:p>
    <w:p>
      <w:pPr>
        <w:pStyle w:val="Heading1"/>
        <w:spacing w:before="400"/>
      </w:pPr>
      <w:r>
        <w:t xml:space="preserve">הוראות שימוש</w:t>
      </w:r>
    </w:p>
    <w:p>
      <w:pPr>
        <w:pStyle w:val="Heading2"/>
      </w:pPr>
      <w:r>
        <w:t xml:space="preserve">פתיחת הסקריפט</w:t>
      </w:r>
    </w:p>
    <w:p>
      <w:pPr>
        <w:pStyle w:val="ListParagraph"/>
        <w:numPr>
          <w:ilvl w:val="0"/>
          <w:numId w:val="3"/>
        </w:numPr>
        <w:jc w:val="right"/>
      </w:pPr>
      <w:r>
        <w:rPr>
          <w:rFonts w:ascii="Arial" w:cs="Arial" w:eastAsia="Arial" w:hAnsi="Arial"/>
        </w:rPr>
        <w:t xml:space="preserve">פתח מסמך ב-InDesign</w:t>
      </w:r>
    </w:p>
    <w:p>
      <w:pPr>
        <w:pStyle w:val="ListParagraph"/>
        <w:numPr>
          <w:ilvl w:val="0"/>
          <w:numId w:val="3"/>
        </w:numPr>
        <w:jc w:val="right"/>
      </w:pPr>
      <w:r>
        <w:rPr>
          <w:rFonts w:ascii="Arial" w:cs="Arial" w:eastAsia="Arial" w:hAnsi="Arial"/>
        </w:rPr>
        <w:t xml:space="preserve">פתח את חלון הסקריפטים: Window → Utilities → Scripts</w:t>
      </w:r>
    </w:p>
    <w:p>
      <w:pPr>
        <w:pStyle w:val="ListParagraph"/>
        <w:numPr>
          <w:ilvl w:val="0"/>
          <w:numId w:val="3"/>
        </w:numPr>
        <w:jc w:val="right"/>
      </w:pPr>
      <w:r>
        <w:rPr>
          <w:rFonts w:ascii="Arial" w:cs="Arial" w:eastAsia="Arial" w:hAnsi="Arial"/>
        </w:rPr>
        <w:t xml:space="preserve">לחץ פעמיים על הסקריפט להפעלה</w:t>
      </w:r>
    </w:p>
    <w:p>
      <w:pPr>
        <w:pStyle w:val="Heading2"/>
      </w:pPr>
      <w:r>
        <w:t xml:space="preserve">חיפוש והחלת סגנון תו</w:t>
      </w:r>
    </w:p>
    <w:p>
      <w:pPr>
        <w:spacing w:after="100"/>
        <w:jc w:val="right"/>
      </w:pPr>
      <w:r>
        <w:rPr>
          <w:rFonts w:ascii="Arial" w:cs="Arial" w:eastAsia="Arial" w:hAnsi="Arial"/>
        </w:rPr>
        <w:t xml:space="preserve">אזור זה מאפשר לאתר טקסט באמצעות GREP ולהחיל עליו סגנון תו:</w:t>
      </w:r>
    </w:p>
    <w:p>
      <w:pPr>
        <w:pStyle w:val="ListParagraph"/>
        <w:numPr>
          <w:ilvl w:val="0"/>
          <w:numId w:val="3"/>
        </w:numPr>
        <w:jc w:val="right"/>
      </w:pPr>
      <w:r>
        <w:rPr>
          <w:rFonts w:ascii="Arial" w:cs="Arial" w:eastAsia="Arial" w:hAnsi="Arial"/>
        </w:rPr>
        <w:t xml:space="preserve">בחר או הקלד תבנית GREP בשדה המתאים</w:t>
      </w:r>
    </w:p>
    <w:p>
      <w:pPr>
        <w:pStyle w:val="ListParagraph"/>
        <w:numPr>
          <w:ilvl w:val="0"/>
          <w:numId w:val="3"/>
        </w:numPr>
        <w:jc w:val="right"/>
      </w:pPr>
      <w:r>
        <w:rPr>
          <w:rFonts w:ascii="Arial" w:cs="Arial" w:eastAsia="Arial" w:hAnsi="Arial"/>
        </w:rPr>
        <w:t xml:space="preserve">בחר סגנון תו מהרשימה הנפתחת</w:t>
      </w:r>
    </w:p>
    <w:p>
      <w:pPr>
        <w:pStyle w:val="ListParagraph"/>
        <w:numPr>
          <w:ilvl w:val="0"/>
          <w:numId w:val="3"/>
        </w:numPr>
        <w:jc w:val="right"/>
      </w:pPr>
      <w:r>
        <w:rPr>
          <w:rFonts w:ascii="Arial" w:cs="Arial" w:eastAsia="Arial" w:hAnsi="Arial"/>
        </w:rPr>
        <w:t xml:space="preserve">לחץ על "החל סגנון"</w:t>
      </w:r>
    </w:p>
    <w:p>
      <w:pPr>
        <w:pStyle w:val="Heading2"/>
      </w:pPr>
      <w:r>
        <w:t xml:space="preserve">המרת אותיות ⇄ מספרים</w:t>
      </w:r>
    </w:p>
    <w:p>
      <w:pPr>
        <w:pStyle w:val="ListParagraph"/>
        <w:numPr>
          <w:ilvl w:val="0"/>
          <w:numId w:val="3"/>
        </w:numPr>
        <w:jc w:val="right"/>
      </w:pPr>
      <w:r>
        <w:rPr>
          <w:rFonts w:ascii="Arial" w:cs="Arial" w:eastAsia="Arial" w:hAnsi="Arial"/>
        </w:rPr>
        <w:t xml:space="preserve">בחר סגנון תו שמסמן את הטקסט להמרה</w:t>
      </w:r>
    </w:p>
    <w:p>
      <w:pPr>
        <w:pStyle w:val="ListParagraph"/>
        <w:numPr>
          <w:ilvl w:val="0"/>
          <w:numId w:val="3"/>
        </w:numPr>
        <w:jc w:val="right"/>
      </w:pPr>
      <w:r>
        <w:rPr>
          <w:rFonts w:ascii="Arial" w:cs="Arial" w:eastAsia="Arial" w:hAnsi="Arial"/>
        </w:rPr>
        <w:t xml:space="preserve">בחר את כיוון ההמרה: אות→מספר או מספר→אות</w:t>
      </w:r>
    </w:p>
    <w:p>
      <w:pPr>
        <w:pStyle w:val="ListParagraph"/>
        <w:numPr>
          <w:ilvl w:val="0"/>
          <w:numId w:val="3"/>
        </w:numPr>
        <w:jc w:val="right"/>
      </w:pPr>
      <w:r>
        <w:rPr>
          <w:rFonts w:ascii="Arial" w:cs="Arial" w:eastAsia="Arial" w:hAnsi="Arial"/>
        </w:rPr>
        <w:t xml:space="preserve">לחץ על "המר"</w:t>
      </w:r>
    </w:p>
    <w:p>
      <w:pPr>
        <w:pStyle w:val="Heading2"/>
      </w:pPr>
      <w:r>
        <w:t xml:space="preserve">ניהול פרופילים</w:t>
      </w:r>
    </w:p>
    <w:p>
      <w:pPr>
        <w:spacing w:after="100"/>
        <w:jc w:val="right"/>
      </w:pPr>
      <w:r>
        <w:rPr>
          <w:rFonts w:ascii="Arial" w:cs="Arial" w:eastAsia="Arial" w:hAnsi="Arial"/>
        </w:rPr>
        <w:t xml:space="preserve">פרופילים מאפשרים לשמור תבניות GREP לשימוש עתידי:</w:t>
      </w:r>
    </w:p>
    <w:p>
      <w:pPr>
        <w:pStyle w:val="ListParagraph"/>
        <w:numPr>
          <w:ilvl w:val="0"/>
          <w:numId w:val="2"/>
        </w:numPr>
        <w:jc w:val="right"/>
      </w:pPr>
      <w:r>
        <w:rPr>
          <w:rFonts w:ascii="Arial" w:cs="Arial" w:eastAsia="Arial" w:hAnsi="Arial"/>
          <w:b/>
          <w:bCs/>
        </w:rPr>
        <w:t xml:space="preserve">שמירה: הקלד שם בשדה "שם" ולחץ "שמור"</w:t>
      </w:r>
    </w:p>
    <w:p>
      <w:pPr>
        <w:pStyle w:val="ListParagraph"/>
        <w:numPr>
          <w:ilvl w:val="0"/>
          <w:numId w:val="2"/>
        </w:numPr>
        <w:jc w:val="right"/>
      </w:pPr>
      <w:r>
        <w:rPr>
          <w:rFonts w:ascii="Arial" w:cs="Arial" w:eastAsia="Arial" w:hAnsi="Arial"/>
          <w:b/>
          <w:bCs/>
        </w:rPr>
        <w:t xml:space="preserve">טעינה: בחר פרופיל מהרשימה הנפתחת</w:t>
      </w:r>
    </w:p>
    <w:p>
      <w:pPr>
        <w:pStyle w:val="ListParagraph"/>
        <w:numPr>
          <w:ilvl w:val="0"/>
          <w:numId w:val="2"/>
        </w:numPr>
        <w:jc w:val="right"/>
      </w:pPr>
      <w:r>
        <w:rPr>
          <w:rFonts w:ascii="Arial" w:cs="Arial" w:eastAsia="Arial" w:hAnsi="Arial"/>
          <w:b/>
          <w:bCs/>
        </w:rPr>
        <w:t xml:space="preserve">מחיקה: בחר פרופיל ולחץ "מחק"</w:t>
      </w:r>
    </w:p>
    <w:p>
      <w:pPr>
        <w:pStyle w:val="Heading2"/>
      </w:pPr>
      <w:r>
        <w:t xml:space="preserve">טווח חיפוש</w:t>
      </w:r>
    </w:p>
    <w:p>
      <w:pPr>
        <w:spacing w:after="100"/>
        <w:jc w:val="right"/>
      </w:pPr>
      <w:r>
        <w:rPr>
          <w:rFonts w:ascii="Arial" w:cs="Arial" w:eastAsia="Arial" w:hAnsi="Arial"/>
        </w:rPr>
        <w:t xml:space="preserve">ניתן להגדיר את טווח הפעולה באמצעות כפתורי הבחירה:</w:t>
      </w:r>
    </w:p>
    <w:p>
      <w:pPr>
        <w:pStyle w:val="ListParagraph"/>
        <w:numPr>
          <w:ilvl w:val="0"/>
          <w:numId w:val="2"/>
        </w:numPr>
        <w:jc w:val="right"/>
      </w:pPr>
      <w:r>
        <w:rPr>
          <w:rFonts w:ascii="Arial" w:cs="Arial" w:eastAsia="Arial" w:hAnsi="Arial"/>
          <w:b/>
          <w:bCs/>
        </w:rPr>
        <w:t xml:space="preserve">מסמך: פועל על כל המסמך</w:t>
      </w:r>
    </w:p>
    <w:p>
      <w:pPr>
        <w:pStyle w:val="ListParagraph"/>
        <w:numPr>
          <w:ilvl w:val="0"/>
          <w:numId w:val="2"/>
        </w:numPr>
        <w:jc w:val="right"/>
      </w:pPr>
      <w:r>
        <w:rPr>
          <w:rFonts w:ascii="Arial" w:cs="Arial" w:eastAsia="Arial" w:hAnsi="Arial"/>
          <w:b/>
          <w:bCs/>
        </w:rPr>
        <w:t xml:space="preserve">Story: פועל על ה-Story הנוכחי בלבד</w:t>
      </w:r>
    </w:p>
    <w:p>
      <w:pPr>
        <w:pStyle w:val="ListParagraph"/>
        <w:numPr>
          <w:ilvl w:val="0"/>
          <w:numId w:val="2"/>
        </w:numPr>
        <w:jc w:val="right"/>
      </w:pPr>
      <w:r>
        <w:rPr>
          <w:rFonts w:ascii="Arial" w:cs="Arial" w:eastAsia="Arial" w:hAnsi="Arial"/>
          <w:b/>
          <w:bCs/>
        </w:rPr>
        <w:t xml:space="preserve">בחירה: פועל רק על הטקסט המסומן</w:t>
      </w:r>
    </w:p>
    <w:p>
      <w:pPr>
        <w:pStyle w:val="Heading1"/>
        <w:spacing w:before="400"/>
      </w:pPr>
      <w:r>
        <w:t xml:space="preserve">טבלת המרה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9"/>
        <w:gridCol w:w="2409"/>
        <w:gridCol w:w="2410"/>
        <w:gridCol w:w="2410"/>
      </w:tblGrid>
      <w:tr>
        <w:tc>
          <w:tcPr>
            <w:tcW w:type="dxa" w:w="240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8E8E8" w:val="clea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</w:rPr>
              <w:t xml:space="preserve">ערך</w:t>
            </w:r>
          </w:p>
        </w:tc>
        <w:tc>
          <w:tcPr>
            <w:tcW w:type="dxa" w:w="240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8E8E8" w:val="clea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</w:rPr>
              <w:t xml:space="preserve">אות</w:t>
            </w:r>
          </w:p>
        </w:tc>
        <w:tc>
          <w:tcPr>
            <w:tcW w:type="dxa" w:w="241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8E8E8" w:val="clea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</w:rPr>
              <w:t xml:space="preserve">ערך</w:t>
            </w:r>
          </w:p>
        </w:tc>
        <w:tc>
          <w:tcPr>
            <w:tcW w:type="dxa" w:w="241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8E8E8" w:val="clear"/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</w:rPr>
              <w:t xml:space="preserve">אות</w:t>
            </w:r>
          </w:p>
        </w:tc>
      </w:tr>
      <w:tr>
        <w:tc>
          <w:tcPr>
            <w:tcW w:type="dxa" w:w="240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1</w:t>
            </w:r>
          </w:p>
        </w:tc>
        <w:tc>
          <w:tcPr>
            <w:tcW w:type="dxa" w:w="240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א</w:t>
            </w:r>
          </w:p>
        </w:tc>
        <w:tc>
          <w:tcPr>
            <w:tcW w:type="dxa" w:w="241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10</w:t>
            </w:r>
          </w:p>
        </w:tc>
        <w:tc>
          <w:tcPr>
            <w:tcW w:type="dxa" w:w="241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י</w:t>
            </w:r>
          </w:p>
        </w:tc>
      </w:tr>
      <w:tr>
        <w:tc>
          <w:tcPr>
            <w:tcW w:type="dxa" w:w="240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2</w:t>
            </w:r>
          </w:p>
        </w:tc>
        <w:tc>
          <w:tcPr>
            <w:tcW w:type="dxa" w:w="240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ב</w:t>
            </w:r>
          </w:p>
        </w:tc>
        <w:tc>
          <w:tcPr>
            <w:tcW w:type="dxa" w:w="241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20</w:t>
            </w:r>
          </w:p>
        </w:tc>
        <w:tc>
          <w:tcPr>
            <w:tcW w:type="dxa" w:w="241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כ</w:t>
            </w:r>
          </w:p>
        </w:tc>
      </w:tr>
      <w:tr>
        <w:tc>
          <w:tcPr>
            <w:tcW w:type="dxa" w:w="240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3</w:t>
            </w:r>
          </w:p>
        </w:tc>
        <w:tc>
          <w:tcPr>
            <w:tcW w:type="dxa" w:w="240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ג</w:t>
            </w:r>
          </w:p>
        </w:tc>
        <w:tc>
          <w:tcPr>
            <w:tcW w:type="dxa" w:w="241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30</w:t>
            </w:r>
          </w:p>
        </w:tc>
        <w:tc>
          <w:tcPr>
            <w:tcW w:type="dxa" w:w="241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ל</w:t>
            </w:r>
          </w:p>
        </w:tc>
      </w:tr>
      <w:tr>
        <w:tc>
          <w:tcPr>
            <w:tcW w:type="dxa" w:w="240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4</w:t>
            </w:r>
          </w:p>
        </w:tc>
        <w:tc>
          <w:tcPr>
            <w:tcW w:type="dxa" w:w="240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ד</w:t>
            </w:r>
          </w:p>
        </w:tc>
        <w:tc>
          <w:tcPr>
            <w:tcW w:type="dxa" w:w="241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40</w:t>
            </w:r>
          </w:p>
        </w:tc>
        <w:tc>
          <w:tcPr>
            <w:tcW w:type="dxa" w:w="241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מ</w:t>
            </w:r>
          </w:p>
        </w:tc>
      </w:tr>
      <w:tr>
        <w:tc>
          <w:tcPr>
            <w:tcW w:type="dxa" w:w="240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5</w:t>
            </w:r>
          </w:p>
        </w:tc>
        <w:tc>
          <w:tcPr>
            <w:tcW w:type="dxa" w:w="240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ה</w:t>
            </w:r>
          </w:p>
        </w:tc>
        <w:tc>
          <w:tcPr>
            <w:tcW w:type="dxa" w:w="241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50</w:t>
            </w:r>
          </w:p>
        </w:tc>
        <w:tc>
          <w:tcPr>
            <w:tcW w:type="dxa" w:w="241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נ</w:t>
            </w:r>
          </w:p>
        </w:tc>
      </w:tr>
      <w:tr>
        <w:tc>
          <w:tcPr>
            <w:tcW w:type="dxa" w:w="240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6</w:t>
            </w:r>
          </w:p>
        </w:tc>
        <w:tc>
          <w:tcPr>
            <w:tcW w:type="dxa" w:w="240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ו</w:t>
            </w:r>
          </w:p>
        </w:tc>
        <w:tc>
          <w:tcPr>
            <w:tcW w:type="dxa" w:w="241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60</w:t>
            </w:r>
          </w:p>
        </w:tc>
        <w:tc>
          <w:tcPr>
            <w:tcW w:type="dxa" w:w="241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ס</w:t>
            </w:r>
          </w:p>
        </w:tc>
      </w:tr>
      <w:tr>
        <w:tc>
          <w:tcPr>
            <w:tcW w:type="dxa" w:w="240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7</w:t>
            </w:r>
          </w:p>
        </w:tc>
        <w:tc>
          <w:tcPr>
            <w:tcW w:type="dxa" w:w="240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ז</w:t>
            </w:r>
          </w:p>
        </w:tc>
        <w:tc>
          <w:tcPr>
            <w:tcW w:type="dxa" w:w="241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70</w:t>
            </w:r>
          </w:p>
        </w:tc>
        <w:tc>
          <w:tcPr>
            <w:tcW w:type="dxa" w:w="241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ע</w:t>
            </w:r>
          </w:p>
        </w:tc>
      </w:tr>
      <w:tr>
        <w:tc>
          <w:tcPr>
            <w:tcW w:type="dxa" w:w="240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8</w:t>
            </w:r>
          </w:p>
        </w:tc>
        <w:tc>
          <w:tcPr>
            <w:tcW w:type="dxa" w:w="240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ח</w:t>
            </w:r>
          </w:p>
        </w:tc>
        <w:tc>
          <w:tcPr>
            <w:tcW w:type="dxa" w:w="241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80</w:t>
            </w:r>
          </w:p>
        </w:tc>
        <w:tc>
          <w:tcPr>
            <w:tcW w:type="dxa" w:w="241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פ</w:t>
            </w:r>
          </w:p>
        </w:tc>
      </w:tr>
      <w:tr>
        <w:tc>
          <w:tcPr>
            <w:tcW w:type="dxa" w:w="240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9</w:t>
            </w:r>
          </w:p>
        </w:tc>
        <w:tc>
          <w:tcPr>
            <w:tcW w:type="dxa" w:w="240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ט</w:t>
            </w:r>
          </w:p>
        </w:tc>
        <w:tc>
          <w:tcPr>
            <w:tcW w:type="dxa" w:w="241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90</w:t>
            </w:r>
          </w:p>
        </w:tc>
        <w:tc>
          <w:tcPr>
            <w:tcW w:type="dxa" w:w="241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צ</w:t>
            </w:r>
          </w:p>
        </w:tc>
      </w:tr>
      <w:tr>
        <w:tc>
          <w:tcPr>
            <w:tcW w:type="dxa" w:w="240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100</w:t>
            </w:r>
          </w:p>
        </w:tc>
        <w:tc>
          <w:tcPr>
            <w:tcW w:type="dxa" w:w="240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ק</w:t>
            </w:r>
          </w:p>
        </w:tc>
        <w:tc>
          <w:tcPr>
            <w:tcW w:type="dxa" w:w="241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300</w:t>
            </w:r>
          </w:p>
        </w:tc>
        <w:tc>
          <w:tcPr>
            <w:tcW w:type="dxa" w:w="241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ש</w:t>
            </w:r>
          </w:p>
        </w:tc>
      </w:tr>
      <w:tr>
        <w:tc>
          <w:tcPr>
            <w:tcW w:type="dxa" w:w="240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200</w:t>
            </w:r>
          </w:p>
        </w:tc>
        <w:tc>
          <w:tcPr>
            <w:tcW w:type="dxa" w:w="2409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ר</w:t>
            </w:r>
          </w:p>
        </w:tc>
        <w:tc>
          <w:tcPr>
            <w:tcW w:type="dxa" w:w="241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400</w:t>
            </w:r>
          </w:p>
        </w:tc>
        <w:tc>
          <w:tcPr>
            <w:tcW w:type="dxa" w:w="241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</w:tcPr>
          <w:p>
            <w:pPr>
              <w:jc w:val="center"/>
            </w:pPr>
            <w:r>
              <w:rPr>
                <w:rFonts w:ascii="Arial" w:cs="Arial" w:eastAsia="Arial" w:hAnsi="Arial"/>
              </w:rPr>
              <w:t xml:space="preserve">ת</w:t>
            </w:r>
          </w:p>
        </w:tc>
      </w:tr>
    </w:tbl>
    <w:p>
      <w:pPr>
        <w:pStyle w:val="Heading1"/>
        <w:spacing w:before="400"/>
      </w:pPr>
      <w:r>
        <w:t xml:space="preserve">טיפים חשובים</w:t>
      </w:r>
    </w:p>
    <w:p>
      <w:pPr>
        <w:pStyle w:val="ListParagraph"/>
        <w:numPr>
          <w:ilvl w:val="0"/>
          <w:numId w:val="2"/>
        </w:numPr>
        <w:jc w:val="right"/>
      </w:pPr>
      <w:r>
        <w:rPr>
          <w:rFonts w:ascii="Arial" w:cs="Arial" w:eastAsia="Arial" w:hAnsi="Arial"/>
        </w:rPr>
        <w:t xml:space="preserve">לפני המרה, וודא שהטקסט מסומן בסגנון תו מתאים</w:t>
      </w:r>
    </w:p>
    <w:p>
      <w:pPr>
        <w:pStyle w:val="ListParagraph"/>
        <w:numPr>
          <w:ilvl w:val="0"/>
          <w:numId w:val="2"/>
        </w:numPr>
        <w:jc w:val="right"/>
      </w:pPr>
      <w:r>
        <w:rPr>
          <w:rFonts w:ascii="Arial" w:cs="Arial" w:eastAsia="Arial" w:hAnsi="Arial"/>
        </w:rPr>
        <w:t xml:space="preserve">אם טעית, השתמש ב-Ctrl+Z (או Cmd+Z) לביטול</w:t>
      </w:r>
    </w:p>
    <w:p>
      <w:pPr>
        <w:pStyle w:val="ListParagraph"/>
        <w:numPr>
          <w:ilvl w:val="0"/>
          <w:numId w:val="2"/>
        </w:numPr>
        <w:jc w:val="right"/>
      </w:pPr>
      <w:r>
        <w:rPr>
          <w:rFonts w:ascii="Arial" w:cs="Arial" w:eastAsia="Arial" w:hAnsi="Arial"/>
        </w:rPr>
        <w:t xml:space="preserve">לחץ על "רענן" לעדכון רשימת סגנונות התו</w:t>
      </w:r>
    </w:p>
    <w:p>
      <w:pPr>
        <w:pStyle w:val="ListParagraph"/>
        <w:numPr>
          <w:ilvl w:val="0"/>
          <w:numId w:val="2"/>
        </w:numPr>
        <w:jc w:val="right"/>
      </w:pPr>
      <w:r>
        <w:rPr>
          <w:rFonts w:ascii="Arial" w:cs="Arial" w:eastAsia="Arial" w:hAnsi="Arial"/>
        </w:rPr>
        <w:t xml:space="preserve">שמור תבניות GREP נפוצות כפרופילים לחיסכון בזמן</w:t>
      </w:r>
    </w:p>
    <w:p>
      <w:pPr>
        <w:spacing w:before="600"/>
        <w:jc w:val="center"/>
      </w:pPr>
      <w:r>
        <w:rPr>
          <w:rFonts w:ascii="Arial" w:cs="Arial" w:eastAsia="Arial" w:hAnsi="Arial"/>
          <w:i/>
          <w:iCs/>
        </w:rPr>
        <w:t xml:space="preserve">כל הזכויות שמורות לסטודיו שלימות</w:t>
      </w:r>
    </w:p>
    <w:sectPr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before="300" w:after="200"/>
      <w:jc w:val="right"/>
      <w:outlineLvl w:val="0"/>
    </w:pPr>
    <w:rPr>
      <w:rFonts w:ascii="Arial" w:cs="Arial" w:eastAsia="Arial" w:hAnsi="Arial"/>
      <w:b/>
      <w:bCs/>
      <w:sz w:val="36"/>
      <w:szCs w:val="36"/>
    </w:rPr>
  </w:style>
  <w:style w:type="paragraph" w:styleId="Heading2">
    <w:name w:val="Heading 2"/>
    <w:basedOn w:val="Normal"/>
    <w:next w:val="Normal"/>
    <w:qFormat/>
    <w:pPr>
      <w:spacing w:before="240" w:after="120"/>
      <w:jc w:val="right"/>
      <w:outlineLvl w:val="1"/>
    </w:pPr>
    <w:rPr>
      <w:rFonts w:ascii="Arial" w:cs="Arial" w:eastAsia="Arial" w:hAnsi="Arial"/>
      <w:b/>
      <w:bCs/>
      <w:sz w:val="28"/>
      <w:szCs w:val="28"/>
    </w:rPr>
  </w:style>
  <w:style w:type="paragraph" w:styleId="Normal">
    <w:name w:val="Normal"/>
    <w:pPr>
      <w:jc w:val="right"/>
    </w:pPr>
    <w:rPr>
      <w:rFonts w:ascii="Arial" w:cs="Arial" w:eastAsia="Arial" w:hAnsi="Arial"/>
      <w:sz w:val="24"/>
      <w:szCs w:val="24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2026-02-04T14:18:45.519Z</dcterms:created>
  <dcterms:modified xsi:type="dcterms:W3CDTF">2026-02-04T14:18:45.520Z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