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5"/>
        <w:keepNext w:val="0"/>
        <w:keepLines w:val="0"/>
        <w:widowControl w:val="0"/>
        <w:shd w:val="clear" w:color="auto" w:fill="auto"/>
        <w:tabs>
          <w:tab w:pos="6528" w:val="left"/>
        </w:tabs>
        <w:spacing w:before="0" w:after="240" w:line="334" w:lineRule="auto"/>
        <w:ind w:left="0" w:right="0" w:firstLine="0"/>
        <w:jc w:val="both"/>
      </w:pPr>
      <w:r>
        <w:rPr>
          <w:color w:val="000000"/>
          <w:spacing w:val="0"/>
          <w:w w:val="100"/>
          <w:position w:val="0"/>
          <w:shd w:val="clear" w:color="auto" w:fill="auto"/>
          <w:lang w:val="he-IL" w:eastAsia="he-IL" w:bidi="he-IL"/>
          <w:rtl/>
        </w:rPr>
        <w:t>שפח</w:t>
        <w:tab/>
        <w:t>ש ו" ת מהרי" ל החדשות</w:t>
      </w:r>
    </w:p>
    <w:p>
      <w:pPr>
        <w:pStyle w:val="Style5"/>
        <w:keepNext w:val="0"/>
        <w:keepLines w:val="0"/>
        <w:widowControl w:val="0"/>
        <w:shd w:val="clear" w:color="auto" w:fill="auto"/>
        <w:tabs>
          <w:tab w:leader="dot" w:pos="3221" w:val="left"/>
        </w:tabs>
        <w:spacing w:before="0" w:after="0" w:line="334" w:lineRule="auto"/>
        <w:ind w:left="0" w:right="0" w:firstLine="0"/>
        <w:jc w:val="both"/>
      </w:pPr>
      <w:r>
        <w:rPr>
          <w:color w:val="000000"/>
          <w:spacing w:val="0"/>
          <w:w w:val="100"/>
          <w:position w:val="0"/>
          <w:shd w:val="clear" w:color="auto" w:fill="auto"/>
          <w:lang w:val="he-IL" w:eastAsia="he-IL" w:bidi="he-IL"/>
          <w:rtl/>
        </w:rPr>
        <w:t>מ״מ חשיב ישראל לכל מילי לדברי הכל. (וכבר®</w:t>
      </w:r>
      <w:r>
        <w:rPr>
          <w:color w:val="000000"/>
          <w:spacing w:val="0"/>
          <w:w w:val="100"/>
          <w:position w:val="0"/>
          <w:shd w:val="clear" w:color="auto" w:fill="auto"/>
          <w:vertAlign w:val="superscript"/>
          <w:lang w:val="en-US" w:eastAsia="en-US" w:bidi="en-US"/>
        </w:rPr>
        <w:t>1</w:t>
      </w:r>
      <w:r>
        <w:rPr>
          <w:color w:val="000000"/>
          <w:spacing w:val="0"/>
          <w:w w:val="100"/>
          <w:position w:val="0"/>
          <w:shd w:val="clear" w:color="auto" w:fill="auto"/>
          <w:lang w:val="he-IL" w:eastAsia="he-IL" w:bidi="he-IL"/>
          <w:rtl/>
        </w:rPr>
        <w:t xml:space="preserve"> הזהרתי שאין הח״ר על ככה באודות זיווגי בת אחותו ז״ל.)</w:t>
        <w:tab/>
      </w:r>
    </w:p>
    <w:p>
      <w:pPr>
        <w:pStyle w:val="Style5"/>
        <w:keepNext w:val="0"/>
        <w:keepLines w:val="0"/>
        <w:widowControl w:val="0"/>
        <w:shd w:val="clear" w:color="auto" w:fill="auto"/>
        <w:spacing w:before="0" w:after="240" w:line="334" w:lineRule="auto"/>
        <w:ind w:left="0" w:right="0" w:firstLine="0"/>
        <w:jc w:val="right"/>
      </w:pPr>
      <w:r>
        <w:rPr>
          <w:color w:val="000000"/>
          <w:spacing w:val="0"/>
          <w:w w:val="100"/>
          <w:position w:val="0"/>
          <w:shd w:val="clear" w:color="auto" w:fill="auto"/>
          <w:lang w:val="he-IL" w:eastAsia="he-IL" w:bidi="he-IL"/>
          <w:rtl/>
        </w:rPr>
        <w:t>{ושלום מא׳ משרתך הקטן חלד] ג)</w:t>
      </w:r>
    </w:p>
    <w:p>
      <w:pPr>
        <w:pStyle w:val="Style7"/>
        <w:keepNext/>
        <w:keepLines/>
        <w:widowControl w:val="0"/>
        <w:shd w:val="clear" w:color="auto" w:fill="auto"/>
        <w:spacing w:before="0" w:line="240" w:lineRule="auto"/>
        <w:ind w:left="0" w:right="0" w:firstLine="0"/>
        <w:jc w:val="center"/>
      </w:pPr>
      <w:bookmarkStart w:id="0" w:name="bookmark0"/>
      <w:r>
        <w:rPr>
          <w:color w:val="000000"/>
          <w:spacing w:val="0"/>
          <w:w w:val="100"/>
          <w:position w:val="0"/>
          <w:shd w:val="clear" w:color="auto" w:fill="auto"/>
          <w:lang w:val="he-IL" w:eastAsia="he-IL" w:bidi="he-IL"/>
          <w:rtl/>
        </w:rPr>
        <w:t>סימן רח</w:t>
      </w:r>
      <w:bookmarkEnd w:id="0"/>
    </w:p>
    <w:p>
      <w:pPr>
        <w:pStyle w:val="Style5"/>
        <w:keepNext w:val="0"/>
        <w:keepLines w:val="0"/>
        <w:widowControl w:val="0"/>
        <w:shd w:val="clear" w:color="auto" w:fill="auto"/>
        <w:spacing w:before="0" w:after="0"/>
        <w:ind w:left="0" w:right="0" w:firstLine="360"/>
        <w:jc w:val="both"/>
      </w:pPr>
      <w:r>
        <w:rPr>
          <w:color w:val="000000"/>
          <w:spacing w:val="0"/>
          <w:w w:val="100"/>
          <w:position w:val="0"/>
          <w:shd w:val="clear" w:color="auto" w:fill="auto"/>
          <w:lang w:val="he-IL" w:eastAsia="he-IL" w:bidi="he-IL"/>
          <w:rtl/>
        </w:rPr>
        <w:t>תחוג בנעימים את שבעת הימים א) אהו׳ נ״ר הח״ר זלמן [שי׳] ב) כ״ץ.</w:t>
      </w:r>
    </w:p>
    <w:p>
      <w:pPr>
        <w:pStyle w:val="Style5"/>
        <w:keepNext w:val="0"/>
        <w:keepLines w:val="0"/>
        <w:widowControl w:val="0"/>
        <w:shd w:val="clear" w:color="auto" w:fill="auto"/>
        <w:spacing w:before="0" w:after="0"/>
        <w:ind w:left="0" w:right="0" w:firstLine="360"/>
        <w:jc w:val="both"/>
      </w:pPr>
      <w:r>
        <w:rPr>
          <w:color w:val="000000"/>
          <w:spacing w:val="0"/>
          <w:w w:val="100"/>
          <w:position w:val="0"/>
          <w:shd w:val="clear" w:color="auto" w:fill="auto"/>
          <w:lang w:val="he-IL" w:eastAsia="he-IL" w:bidi="he-IL"/>
          <w:rtl/>
        </w:rPr>
        <w:t xml:space="preserve">לענין יבם קטן ויבמה, מילתא דפשיטא [היא] ב) ג׳ חדשים הראשונים ניזונית משל בעל, מכאן ואילך אינה ניזונית לא משל בעל ולא משל יבם דמשמיא הוא דקבסו לה כדפסיק תלמודא פרק החולץ </w:t>
      </w:r>
      <w:r>
        <w:rPr>
          <w:color w:val="000000"/>
          <w:spacing w:val="0"/>
          <w:w w:val="100"/>
          <w:position w:val="0"/>
          <w:shd w:val="clear" w:color="auto" w:fill="auto"/>
          <w:vertAlign w:val="superscript"/>
          <w:lang w:val="en-US" w:eastAsia="en-US" w:bidi="en-US"/>
        </w:rPr>
        <w:t>1</w:t>
      </w:r>
      <w:r>
        <w:rPr>
          <w:color w:val="000000"/>
          <w:spacing w:val="0"/>
          <w:w w:val="100"/>
          <w:position w:val="0"/>
          <w:shd w:val="clear" w:color="auto" w:fill="auto"/>
          <w:lang w:val="he-IL" w:eastAsia="he-IL" w:bidi="he-IL"/>
          <w:rtl/>
        </w:rPr>
        <w:t xml:space="preserve">- אמנם כתוב בא״ז </w:t>
      </w:r>
      <w:r>
        <w:rPr>
          <w:color w:val="000000"/>
          <w:spacing w:val="0"/>
          <w:w w:val="100"/>
          <w:position w:val="0"/>
          <w:shd w:val="clear" w:color="auto" w:fill="auto"/>
          <w:vertAlign w:val="superscript"/>
          <w:lang w:val="en-US" w:eastAsia="en-US" w:bidi="en-US"/>
        </w:rPr>
        <w:t>2</w:t>
      </w:r>
      <w:r>
        <w:rPr>
          <w:color w:val="000000"/>
          <w:spacing w:val="0"/>
          <w:w w:val="100"/>
          <w:position w:val="0"/>
          <w:shd w:val="clear" w:color="auto" w:fill="auto"/>
          <w:lang w:val="he-IL" w:eastAsia="he-IL" w:bidi="he-IL"/>
          <w:rtl/>
        </w:rPr>
        <w:t xml:space="preserve"> וז״ל כו׳ הילכך נר׳ לע״ד הואיל ותקנת הקהילות השתא לחלק ג) היא והיבם </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he-IL" w:eastAsia="he-IL" w:bidi="he-IL"/>
          <w:rtl/>
        </w:rPr>
        <w:t xml:space="preserve">, ומהר״ם </w:t>
      </w:r>
      <w:r>
        <w:rPr>
          <w:color w:val="000000"/>
          <w:spacing w:val="0"/>
          <w:w w:val="100"/>
          <w:position w:val="0"/>
          <w:shd w:val="clear" w:color="auto" w:fill="auto"/>
          <w:vertAlign w:val="superscript"/>
          <w:lang w:val="en-US" w:eastAsia="en-US" w:bidi="en-US"/>
        </w:rPr>
        <w:t>4</w:t>
      </w:r>
      <w:r>
        <w:rPr>
          <w:color w:val="000000"/>
          <w:spacing w:val="0"/>
          <w:w w:val="100"/>
          <w:position w:val="0"/>
          <w:shd w:val="clear" w:color="auto" w:fill="auto"/>
          <w:lang w:val="he-IL" w:eastAsia="he-IL" w:bidi="he-IL"/>
          <w:rtl/>
        </w:rPr>
        <w:t xml:space="preserve"> פסק דכי ממרדה יהבינן לה נדונייהכדינא דמתיבתא</w:t>
      </w:r>
    </w:p>
    <w:p>
      <w:pPr>
        <w:pStyle w:val="Style9"/>
        <w:keepNext w:val="0"/>
        <w:keepLines w:val="0"/>
        <w:widowControl w:val="0"/>
        <w:shd w:val="clear" w:color="auto" w:fill="auto"/>
        <w:tabs>
          <w:tab w:pos="5274" w:val="left"/>
        </w:tabs>
        <w:bidi w:val="0"/>
        <w:spacing w:before="0"/>
        <w:ind w:right="0" w:firstLine="0"/>
        <w:jc w:val="left"/>
      </w:pPr>
      <w:r>
        <w:rPr>
          <w:spacing w:val="0"/>
          <w:w w:val="100"/>
          <w:position w:val="0"/>
          <w:shd w:val="clear" w:color="auto" w:fill="auto"/>
        </w:rPr>
        <w:t xml:space="preserve">|nrunn </w:t>
      </w:r>
      <w:r>
        <w:rPr>
          <w:smallCaps/>
          <w:spacing w:val="0"/>
          <w:w w:val="100"/>
          <w:position w:val="0"/>
          <w:sz w:val="9"/>
          <w:szCs w:val="9"/>
          <w:shd w:val="clear" w:color="auto" w:fill="auto"/>
        </w:rPr>
        <w:t>hik]</w:t>
      </w:r>
      <w:r>
        <w:rPr>
          <w:smallCaps/>
          <w:spacing w:val="0"/>
          <w:w w:val="100"/>
          <w:position w:val="0"/>
          <w:sz w:val="9"/>
          <w:szCs w:val="9"/>
          <w:u w:val="none"/>
          <w:shd w:val="clear" w:color="auto" w:fill="auto"/>
        </w:rPr>
        <w:tab/>
      </w:r>
      <w:r>
        <w:rPr>
          <w:smallCaps/>
          <w:color w:val="000000"/>
          <w:spacing w:val="0"/>
          <w:w w:val="100"/>
          <w:position w:val="0"/>
          <w:sz w:val="9"/>
          <w:szCs w:val="9"/>
          <w:u w:val="none"/>
          <w:shd w:val="clear" w:color="auto" w:fill="auto"/>
        </w:rPr>
        <w:t>’</w:t>
      </w:r>
    </w:p>
    <w:p>
      <w:pPr>
        <w:pStyle w:val="Style5"/>
        <w:keepNext w:val="0"/>
        <w:keepLines w:val="0"/>
        <w:widowControl w:val="0"/>
        <w:shd w:val="clear" w:color="auto" w:fill="auto"/>
        <w:spacing w:before="0" w:after="0"/>
        <w:ind w:left="0" w:right="0" w:firstLine="0"/>
        <w:jc w:val="center"/>
        <w:sectPr>
          <w:footnotePr>
            <w:pos w:val="pageBottom"/>
            <w:numFmt w:val="decimal"/>
            <w:numRestart w:val="continuous"/>
          </w:footnotePr>
          <w:pgSz w:w="11900" w:h="16840"/>
          <w:pgMar w:top="481" w:right="954" w:bottom="257" w:left="1078" w:header="53" w:footer="3" w:gutter="0"/>
          <w:pgNumType w:start="1"/>
          <w:cols w:space="720"/>
          <w:noEndnote/>
          <w:bidi/>
          <w:rtlGutter w:val="0"/>
          <w:docGrid w:linePitch="360"/>
        </w:sectPr>
      </w:pPr>
      <w:r>
        <w:rPr>
          <w:color w:val="000000"/>
          <w:spacing w:val="0"/>
          <w:w w:val="100"/>
          <w:position w:val="0"/>
          <w:shd w:val="clear" w:color="auto" w:fill="auto"/>
          <w:lang w:val="he-IL" w:eastAsia="he-IL" w:bidi="he-IL"/>
          <w:rtl/>
        </w:rPr>
        <w:t>במררדת, על כן יש ליתן חצי הנכסים ביד באמן ותיזון היבמה מהריוח כמה שכתב בא״ז</w:t>
        <w:br/>
        <w:t xml:space="preserve">[בתשובתו] ב) על נדוניית׳. ואע״ג דפלוגתא ד) דרש״י </w:t>
      </w:r>
      <w:r>
        <w:rPr>
          <w:color w:val="000000"/>
          <w:spacing w:val="0"/>
          <w:w w:val="100"/>
          <w:position w:val="0"/>
          <w:shd w:val="clear" w:color="auto" w:fill="auto"/>
          <w:vertAlign w:val="superscript"/>
          <w:lang w:val="en-US" w:eastAsia="en-US" w:bidi="en-US"/>
        </w:rPr>
        <w:t>5</w:t>
      </w:r>
      <w:r>
        <w:rPr>
          <w:color w:val="000000"/>
          <w:spacing w:val="0"/>
          <w:w w:val="100"/>
          <w:position w:val="0"/>
          <w:shd w:val="clear" w:color="auto" w:fill="auto"/>
          <w:lang w:val="he-IL" w:eastAsia="he-IL" w:bidi="he-IL"/>
          <w:rtl/>
        </w:rPr>
        <w:t xml:space="preserve"> ור״ת בחייה ולפיררת, מ״מ רמב״ם </w:t>
      </w:r>
      <w:r>
        <w:rPr>
          <w:color w:val="000000"/>
          <w:spacing w:val="0"/>
          <w:w w:val="100"/>
          <w:position w:val="0"/>
          <w:shd w:val="clear" w:color="auto" w:fill="auto"/>
          <w:vertAlign w:val="superscript"/>
          <w:lang w:val="en-US" w:eastAsia="en-US" w:bidi="en-US"/>
        </w:rPr>
        <w:t>5</w:t>
      </w:r>
      <w:r>
        <w:rPr>
          <w:color w:val="000000"/>
          <w:spacing w:val="0"/>
          <w:w w:val="100"/>
          <w:position w:val="0"/>
          <w:shd w:val="clear" w:color="auto" w:fill="auto"/>
          <w:lang w:val="en-US" w:eastAsia="en-US" w:bidi="en-US"/>
        </w:rPr>
        <w:br/>
      </w:r>
      <w:r>
        <w:rPr>
          <w:color w:val="000000"/>
          <w:spacing w:val="0"/>
          <w:w w:val="100"/>
          <w:position w:val="0"/>
          <w:shd w:val="clear" w:color="auto" w:fill="auto"/>
          <w:lang w:val="he-IL" w:eastAsia="he-IL" w:bidi="he-IL"/>
          <w:rtl/>
        </w:rPr>
        <w:t>כתב דאין ליבם כלום אפי׳ בפירות דנכסי צאן ברזל, ובנדון כי האי כו׳ה) סמכינא עליה</w:t>
        <w:br/>
        <w:t>כיון דיכולה למרוד וחוח יהביבן לה נדמית/ כדפסק מהר״ם לדיבא (וגמר׳) ו) לפי דינא</w:t>
        <w:br/>
        <w:t>דמתיבתא, וגם הא״ז כתב שתהא ניזונית מריוח נדוניית׳ [כדלעיל. ומ״מ לא יהבינן לה</w:t>
        <w:br/>
        <w:t xml:space="preserve">הריוח מכל נדוניית׳] ב) אי הוי טפי מחצי </w:t>
      </w:r>
      <w:r>
        <w:rPr>
          <w:rFonts w:ascii="Arial" w:eastAsia="Arial" w:hAnsi="Arial" w:cs="Arial"/>
          <w:b w:val="0"/>
          <w:bCs w:val="0"/>
          <w:color w:val="000000"/>
          <w:spacing w:val="0"/>
          <w:w w:val="100"/>
          <w:position w:val="0"/>
          <w:sz w:val="26"/>
          <w:szCs w:val="26"/>
          <w:shd w:val="clear" w:color="auto" w:fill="auto"/>
          <w:lang w:val="en-US" w:eastAsia="en-US" w:bidi="en-US"/>
        </w:rPr>
        <w:t>1</w:t>
      </w:r>
      <w:r>
        <w:rPr>
          <w:color w:val="000000"/>
          <w:spacing w:val="0"/>
          <w:w w:val="100"/>
          <w:position w:val="0"/>
          <w:shd w:val="clear" w:color="auto" w:fill="auto"/>
          <w:lang w:val="he-IL" w:eastAsia="he-IL" w:bidi="he-IL"/>
          <w:rtl/>
        </w:rPr>
        <w:t>ד]א״זב), כיון דתקנת הקהלות לחלק הנכסים</w:t>
        <w:br/>
        <w:t>אפי' לא הושוו הנדוניית כמו שמבואר בתקנות החדשות שנתקנו ע״י מורי ז) ז״ל ויתר</w:t>
        <w:br/>
        <w:t xml:space="preserve">חכמי הדור </w:t>
      </w:r>
      <w:r>
        <w:rPr>
          <w:color w:val="000000"/>
          <w:spacing w:val="0"/>
          <w:w w:val="100"/>
          <w:position w:val="0"/>
          <w:shd w:val="clear" w:color="auto" w:fill="auto"/>
          <w:vertAlign w:val="superscript"/>
          <w:lang w:val="en-US" w:eastAsia="en-US" w:bidi="en-US"/>
        </w:rPr>
        <w:t>6</w:t>
      </w:r>
      <w:r>
        <w:rPr>
          <w:color w:val="000000"/>
          <w:spacing w:val="0"/>
          <w:w w:val="100"/>
          <w:position w:val="0"/>
          <w:shd w:val="clear" w:color="auto" w:fill="auto"/>
          <w:lang w:val="he-IL" w:eastAsia="he-IL" w:bidi="he-IL"/>
          <w:rtl/>
        </w:rPr>
        <w:t xml:space="preserve">. ושבועה אינה צריכה דנכסי צאן ברזל גביא בלא שבועה </w:t>
      </w:r>
      <w:r>
        <w:rPr>
          <w:color w:val="000000"/>
          <w:spacing w:val="0"/>
          <w:w w:val="100"/>
          <w:position w:val="0"/>
          <w:shd w:val="clear" w:color="auto" w:fill="auto"/>
          <w:vertAlign w:val="superscript"/>
          <w:lang w:val="he-IL" w:eastAsia="he-IL" w:bidi="he-IL"/>
          <w:rtl/>
        </w:rPr>
        <w:t>ז</w:t>
      </w:r>
      <w:r>
        <w:rPr>
          <w:color w:val="000000"/>
          <w:spacing w:val="0"/>
          <w:w w:val="100"/>
          <w:position w:val="0"/>
          <w:shd w:val="clear" w:color="auto" w:fill="auto"/>
          <w:lang w:val="he-IL" w:eastAsia="he-IL" w:bidi="he-IL"/>
          <w:rtl/>
        </w:rPr>
        <w:t>, ומ״מ לא יהבינן</w:t>
      </w:r>
    </w:p>
    <w:p>
      <w:pPr>
        <w:widowControl w:val="0"/>
        <w:spacing w:line="74" w:lineRule="exact"/>
        <w:rPr>
          <w:sz w:val="6"/>
          <w:szCs w:val="6"/>
        </w:rPr>
      </w:pPr>
    </w:p>
    <w:p>
      <w:pPr>
        <w:widowControl w:val="0"/>
        <w:spacing w:line="1" w:lineRule="exact"/>
        <w:sectPr>
          <w:footnotePr>
            <w:pos w:val="pageBottom"/>
            <w:numFmt w:val="decimal"/>
            <w:numRestart w:val="continuous"/>
          </w:footnotePr>
          <w:type w:val="continuous"/>
          <w:pgSz w:w="11900" w:h="16840"/>
          <w:pgMar w:top="481" w:right="0" w:bottom="257" w:left="0" w:header="0" w:footer="3" w:gutter="0"/>
          <w:cols w:space="720"/>
          <w:noEndnote/>
          <w:rtlGutter w:val="0"/>
          <w:docGrid w:linePitch="360"/>
        </w:sectPr>
      </w:pPr>
    </w:p>
    <w:p>
      <w:pPr>
        <w:pStyle w:val="Style15"/>
        <w:keepNext w:val="0"/>
        <w:keepLines w:val="0"/>
        <w:widowControl w:val="0"/>
        <w:shd w:val="clear" w:color="auto" w:fill="auto"/>
        <w:spacing w:before="0" w:after="0" w:line="269" w:lineRule="auto"/>
        <w:ind w:left="0" w:right="0" w:firstLine="0"/>
        <w:jc w:val="both"/>
      </w:pPr>
      <w:r>
        <w:rPr>
          <w:color w:val="000000"/>
          <w:spacing w:val="0"/>
          <w:w w:val="100"/>
          <w:position w:val="0"/>
          <w:shd w:val="clear" w:color="auto" w:fill="auto"/>
          <w:lang w:val="he-IL" w:eastAsia="he-IL" w:bidi="he-IL"/>
          <w:rtl/>
        </w:rPr>
        <w:t xml:space="preserve">ג) ע״פ </w:t>
      </w:r>
      <w:r>
        <w:rPr>
          <w:rFonts w:ascii="FrankRuehl" w:eastAsia="FrankRuehl" w:hAnsi="FrankRuehl" w:cs="FrankRuehl"/>
          <w:color w:val="000000"/>
          <w:spacing w:val="0"/>
          <w:w w:val="100"/>
          <w:position w:val="0"/>
          <w:sz w:val="26"/>
          <w:szCs w:val="26"/>
          <w:shd w:val="clear" w:color="auto" w:fill="auto"/>
          <w:lang w:val="en-US" w:eastAsia="en-US" w:bidi="en-US"/>
        </w:rPr>
        <w:t>3</w:t>
      </w:r>
      <w:r>
        <w:rPr>
          <w:rFonts w:ascii="FrankRuehl" w:eastAsia="FrankRuehl" w:hAnsi="FrankRuehl" w:cs="FrankRuehl"/>
          <w:color w:val="000000"/>
          <w:spacing w:val="0"/>
          <w:w w:val="100"/>
          <w:position w:val="0"/>
          <w:sz w:val="26"/>
          <w:szCs w:val="26"/>
          <w:shd w:val="clear" w:color="auto" w:fill="auto"/>
          <w:lang w:val="he-IL" w:eastAsia="he-IL" w:bidi="he-IL"/>
          <w:rtl/>
        </w:rPr>
        <w:t>.</w:t>
      </w:r>
      <w:r>
        <w:rPr>
          <w:color w:val="000000"/>
          <w:spacing w:val="0"/>
          <w:w w:val="100"/>
          <w:position w:val="0"/>
          <w:shd w:val="clear" w:color="auto" w:fill="auto"/>
          <w:lang w:val="he-IL" w:eastAsia="he-IL" w:bidi="he-IL"/>
          <w:rtl/>
        </w:rPr>
        <w:t>מ.</w:t>
      </w:r>
    </w:p>
    <w:p>
      <w:pPr>
        <w:pStyle w:val="Style15"/>
        <w:keepNext w:val="0"/>
        <w:keepLines w:val="0"/>
        <w:widowControl w:val="0"/>
        <w:shd w:val="clear" w:color="auto" w:fill="auto"/>
        <w:spacing w:before="0" w:after="300" w:line="276" w:lineRule="auto"/>
        <w:ind w:left="0" w:right="0" w:firstLine="0"/>
        <w:jc w:val="both"/>
      </w:pPr>
      <w:r>
        <w:rPr>
          <w:color w:val="000000"/>
          <w:spacing w:val="0"/>
          <w:w w:val="100"/>
          <w:position w:val="0"/>
          <w:shd w:val="clear" w:color="auto" w:fill="auto"/>
          <w:lang w:val="he-IL" w:eastAsia="he-IL" w:bidi="he-IL"/>
          <w:rtl/>
        </w:rPr>
        <w:t xml:space="preserve">א) את לזג הימים, </w:t>
      </w:r>
      <w:r>
        <w:rPr>
          <w:rFonts w:ascii="FrankRuehl" w:eastAsia="FrankRuehl" w:hAnsi="FrankRuehl" w:cs="FrankRuehl"/>
          <w:color w:val="000000"/>
          <w:spacing w:val="0"/>
          <w:w w:val="100"/>
          <w:position w:val="0"/>
          <w:sz w:val="26"/>
          <w:szCs w:val="26"/>
          <w:shd w:val="clear" w:color="auto" w:fill="auto"/>
          <w:lang w:val="en-US" w:eastAsia="en-US" w:bidi="en-US"/>
        </w:rPr>
        <w:t>3</w:t>
      </w:r>
      <w:r>
        <w:rPr>
          <w:rFonts w:ascii="FrankRuehl" w:eastAsia="FrankRuehl" w:hAnsi="FrankRuehl" w:cs="FrankRuehl"/>
          <w:color w:val="000000"/>
          <w:spacing w:val="0"/>
          <w:w w:val="100"/>
          <w:position w:val="0"/>
          <w:sz w:val="26"/>
          <w:szCs w:val="26"/>
          <w:shd w:val="clear" w:color="auto" w:fill="auto"/>
          <w:lang w:val="he-IL" w:eastAsia="he-IL" w:bidi="he-IL"/>
          <w:rtl/>
        </w:rPr>
        <w:t>.</w:t>
      </w:r>
      <w:r>
        <w:rPr>
          <w:color w:val="000000"/>
          <w:spacing w:val="0"/>
          <w:w w:val="100"/>
          <w:position w:val="0"/>
          <w:shd w:val="clear" w:color="auto" w:fill="auto"/>
          <w:lang w:val="he-IL" w:eastAsia="he-IL" w:bidi="he-IL"/>
          <w:rtl/>
        </w:rPr>
        <w:t xml:space="preserve">מ. ב) ע״פ ב.מ. דפלוגת׳, </w:t>
      </w:r>
      <w:r>
        <w:rPr>
          <w:rFonts w:ascii="FrankRuehl" w:eastAsia="FrankRuehl" w:hAnsi="FrankRuehl" w:cs="FrankRuehl"/>
          <w:color w:val="000000"/>
          <w:spacing w:val="0"/>
          <w:w w:val="100"/>
          <w:position w:val="0"/>
          <w:sz w:val="26"/>
          <w:szCs w:val="26"/>
          <w:shd w:val="clear" w:color="auto" w:fill="auto"/>
          <w:lang w:val="en-US" w:eastAsia="en-US" w:bidi="en-US"/>
        </w:rPr>
        <w:t>3</w:t>
      </w:r>
      <w:r>
        <w:rPr>
          <w:rFonts w:ascii="FrankRuehl" w:eastAsia="FrankRuehl" w:hAnsi="FrankRuehl" w:cs="FrankRuehl"/>
          <w:color w:val="000000"/>
          <w:spacing w:val="0"/>
          <w:w w:val="100"/>
          <w:position w:val="0"/>
          <w:sz w:val="26"/>
          <w:szCs w:val="26"/>
          <w:shd w:val="clear" w:color="auto" w:fill="auto"/>
          <w:lang w:val="he-IL" w:eastAsia="he-IL" w:bidi="he-IL"/>
          <w:rtl/>
        </w:rPr>
        <w:t>.</w:t>
      </w:r>
      <w:r>
        <w:rPr>
          <w:color w:val="000000"/>
          <w:spacing w:val="0"/>
          <w:w w:val="100"/>
          <w:position w:val="0"/>
          <w:shd w:val="clear" w:color="auto" w:fill="auto"/>
          <w:lang w:val="he-IL" w:eastAsia="he-IL" w:bidi="he-IL"/>
          <w:rtl/>
        </w:rPr>
        <w:t xml:space="preserve">מ. ה) האי סמיכנא, </w:t>
      </w:r>
      <w:r>
        <w:rPr>
          <w:rFonts w:ascii="FrankRuehl" w:eastAsia="FrankRuehl" w:hAnsi="FrankRuehl" w:cs="FrankRuehl"/>
          <w:color w:val="000000"/>
          <w:spacing w:val="0"/>
          <w:w w:val="100"/>
          <w:position w:val="0"/>
          <w:sz w:val="26"/>
          <w:szCs w:val="26"/>
          <w:shd w:val="clear" w:color="auto" w:fill="auto"/>
          <w:lang w:val="en-US" w:eastAsia="en-US" w:bidi="en-US"/>
        </w:rPr>
        <w:t>3</w:t>
      </w:r>
      <w:r>
        <w:rPr>
          <w:rFonts w:ascii="FrankRuehl" w:eastAsia="FrankRuehl" w:hAnsi="FrankRuehl" w:cs="FrankRuehl"/>
          <w:color w:val="000000"/>
          <w:spacing w:val="0"/>
          <w:w w:val="100"/>
          <w:position w:val="0"/>
          <w:sz w:val="26"/>
          <w:szCs w:val="26"/>
          <w:shd w:val="clear" w:color="auto" w:fill="auto"/>
          <w:lang w:val="he-IL" w:eastAsia="he-IL" w:bidi="he-IL"/>
          <w:rtl/>
        </w:rPr>
        <w:t>.</w:t>
      </w:r>
      <w:r>
        <w:rPr>
          <w:color w:val="000000"/>
          <w:spacing w:val="0"/>
          <w:w w:val="100"/>
          <w:position w:val="0"/>
          <w:shd w:val="clear" w:color="auto" w:fill="auto"/>
          <w:lang w:val="he-IL" w:eastAsia="he-IL" w:bidi="he-IL"/>
          <w:rtl/>
        </w:rPr>
        <w:t xml:space="preserve">מ. </w:t>
      </w:r>
      <w:r>
        <w:rPr>
          <w:rFonts w:ascii="FrankRuehl" w:eastAsia="FrankRuehl" w:hAnsi="FrankRuehl" w:cs="FrankRuehl"/>
          <w:color w:val="000000"/>
          <w:spacing w:val="0"/>
          <w:w w:val="100"/>
          <w:position w:val="0"/>
          <w:sz w:val="26"/>
          <w:szCs w:val="26"/>
          <w:shd w:val="clear" w:color="auto" w:fill="auto"/>
          <w:lang w:val="en-US" w:eastAsia="en-US" w:bidi="en-US"/>
        </w:rPr>
        <w:t>3</w:t>
      </w:r>
      <w:r>
        <w:rPr>
          <w:color w:val="000000"/>
          <w:spacing w:val="0"/>
          <w:w w:val="100"/>
          <w:position w:val="0"/>
          <w:shd w:val="clear" w:color="auto" w:fill="auto"/>
          <w:lang w:val="he-IL" w:eastAsia="he-IL" w:bidi="he-IL"/>
          <w:rtl/>
        </w:rPr>
        <w:t>שני כ״י. ז) א״מ, א</w:t>
      </w:r>
      <w:r>
        <w:rPr>
          <w:rFonts w:ascii="FrankRuehl" w:eastAsia="FrankRuehl" w:hAnsi="FrankRuehl" w:cs="FrankRuehl"/>
          <w:color w:val="000000"/>
          <w:spacing w:val="0"/>
          <w:w w:val="100"/>
          <w:position w:val="0"/>
          <w:sz w:val="26"/>
          <w:szCs w:val="26"/>
          <w:shd w:val="clear" w:color="auto" w:fill="auto"/>
          <w:lang w:val="en-US" w:eastAsia="en-US" w:bidi="en-US"/>
        </w:rPr>
        <w:t>3</w:t>
      </w:r>
      <w:r>
        <w:rPr>
          <w:color w:val="000000"/>
          <w:spacing w:val="0"/>
          <w:w w:val="100"/>
          <w:position w:val="0"/>
          <w:shd w:val="clear" w:color="auto" w:fill="auto"/>
          <w:lang w:val="he-IL" w:eastAsia="he-IL" w:bidi="he-IL"/>
          <w:rtl/>
        </w:rPr>
        <w:t xml:space="preserve">י מורי, </w:t>
      </w:r>
      <w:r>
        <w:rPr>
          <w:rFonts w:ascii="FrankRuehl" w:eastAsia="FrankRuehl" w:hAnsi="FrankRuehl" w:cs="FrankRuehl"/>
          <w:color w:val="000000"/>
          <w:spacing w:val="0"/>
          <w:w w:val="100"/>
          <w:position w:val="0"/>
          <w:sz w:val="26"/>
          <w:szCs w:val="26"/>
          <w:shd w:val="clear" w:color="auto" w:fill="auto"/>
          <w:lang w:val="en-US" w:eastAsia="en-US" w:bidi="en-US"/>
        </w:rPr>
        <w:t>3</w:t>
      </w:r>
      <w:r>
        <w:rPr>
          <w:rFonts w:ascii="FrankRuehl" w:eastAsia="FrankRuehl" w:hAnsi="FrankRuehl" w:cs="FrankRuehl"/>
          <w:color w:val="000000"/>
          <w:spacing w:val="0"/>
          <w:w w:val="100"/>
          <w:position w:val="0"/>
          <w:sz w:val="26"/>
          <w:szCs w:val="26"/>
          <w:shd w:val="clear" w:color="auto" w:fill="auto"/>
          <w:lang w:val="he-IL" w:eastAsia="he-IL" w:bidi="he-IL"/>
          <w:rtl/>
        </w:rPr>
        <w:t>.</w:t>
      </w:r>
      <w:r>
        <w:rPr>
          <w:color w:val="000000"/>
          <w:spacing w:val="0"/>
          <w:w w:val="100"/>
          <w:position w:val="0"/>
          <w:shd w:val="clear" w:color="auto" w:fill="auto"/>
          <w:lang w:val="he-IL" w:eastAsia="he-IL" w:bidi="he-IL"/>
          <w:rtl/>
        </w:rPr>
        <w:t>מ.</w:t>
      </w:r>
    </w:p>
    <w:p>
      <w:pPr>
        <w:pStyle w:val="Style15"/>
        <w:keepNext w:val="0"/>
        <w:keepLines w:val="0"/>
        <w:widowControl w:val="0"/>
        <w:shd w:val="clear" w:color="auto" w:fill="auto"/>
        <w:spacing w:before="0" w:after="0" w:line="276" w:lineRule="auto"/>
        <w:ind w:left="0" w:right="0" w:firstLine="0"/>
        <w:jc w:val="both"/>
      </w:pPr>
      <w:r>
        <w:rPr>
          <w:rFonts w:ascii="FrankRuehl" w:eastAsia="FrankRuehl" w:hAnsi="FrankRuehl" w:cs="FrankRuehl"/>
          <w:color w:val="000000"/>
          <w:spacing w:val="0"/>
          <w:w w:val="100"/>
          <w:position w:val="0"/>
          <w:sz w:val="26"/>
          <w:szCs w:val="26"/>
          <w:shd w:val="clear" w:color="auto" w:fill="auto"/>
          <w:lang w:val="en-US" w:eastAsia="en-US" w:bidi="en-US"/>
        </w:rPr>
        <w:t>13</w:t>
      </w:r>
      <w:r>
        <w:rPr>
          <w:rFonts w:ascii="FrankRuehl" w:eastAsia="FrankRuehl" w:hAnsi="FrankRuehl" w:cs="FrankRuehl"/>
          <w:color w:val="000000"/>
          <w:spacing w:val="0"/>
          <w:w w:val="100"/>
          <w:position w:val="0"/>
          <w:sz w:val="26"/>
          <w:szCs w:val="26"/>
          <w:shd w:val="clear" w:color="auto" w:fill="auto"/>
          <w:lang w:val="he-IL" w:eastAsia="he-IL" w:bidi="he-IL"/>
          <w:rtl/>
        </w:rPr>
        <w:t xml:space="preserve"> </w:t>
      </w:r>
      <w:r>
        <w:rPr>
          <w:color w:val="000000"/>
          <w:spacing w:val="0"/>
          <w:w w:val="100"/>
          <w:position w:val="0"/>
          <w:shd w:val="clear" w:color="auto" w:fill="auto"/>
          <w:lang w:val="he-IL" w:eastAsia="he-IL" w:bidi="he-IL"/>
          <w:rtl/>
        </w:rPr>
        <w:t>מכאן ואילך אינו מובן ואינו בכ״י ב.מ. ההמשך נמצא לעיל סי׳ צח.</w:t>
      </w:r>
    </w:p>
    <w:p>
      <w:pPr>
        <w:pStyle w:val="Style15"/>
        <w:keepNext w:val="0"/>
        <w:keepLines w:val="0"/>
        <w:widowControl w:val="0"/>
        <w:shd w:val="clear" w:color="auto" w:fill="auto"/>
        <w:spacing w:before="0" w:after="0" w:line="276" w:lineRule="auto"/>
        <w:ind w:left="0" w:right="0" w:firstLine="0"/>
        <w:jc w:val="both"/>
      </w:pPr>
      <w:r>
        <w:rPr>
          <w:color w:val="000000"/>
          <w:spacing w:val="0"/>
          <w:w w:val="100"/>
          <w:position w:val="0"/>
          <w:shd w:val="clear" w:color="auto" w:fill="auto"/>
          <w:lang w:val="he-IL" w:eastAsia="he-IL" w:bidi="he-IL"/>
          <w:rtl/>
        </w:rPr>
        <w:t xml:space="preserve">סימן רח: א. </w:t>
      </w:r>
      <w:r>
        <w:rPr>
          <w:rFonts w:ascii="FrankRuehl" w:eastAsia="FrankRuehl" w:hAnsi="FrankRuehl" w:cs="FrankRuehl"/>
          <w:color w:val="000000"/>
          <w:spacing w:val="0"/>
          <w:w w:val="100"/>
          <w:position w:val="0"/>
          <w:sz w:val="26"/>
          <w:szCs w:val="26"/>
          <w:shd w:val="clear" w:color="auto" w:fill="auto"/>
          <w:lang w:val="en-US" w:eastAsia="en-US" w:bidi="en-US"/>
        </w:rPr>
        <w:t>74</w:t>
      </w:r>
      <w:r>
        <w:rPr>
          <w:rFonts w:ascii="FrankRuehl" w:eastAsia="FrankRuehl" w:hAnsi="FrankRuehl" w:cs="FrankRuehl"/>
          <w:color w:val="000000"/>
          <w:spacing w:val="0"/>
          <w:w w:val="100"/>
          <w:position w:val="0"/>
          <w:sz w:val="26"/>
          <w:szCs w:val="26"/>
          <w:shd w:val="clear" w:color="auto" w:fill="auto"/>
          <w:lang w:val="he-IL" w:eastAsia="he-IL" w:bidi="he-IL"/>
          <w:rtl/>
        </w:rPr>
        <w:t xml:space="preserve"> </w:t>
      </w:r>
      <w:r>
        <w:rPr>
          <w:color w:val="000000"/>
          <w:spacing w:val="0"/>
          <w:w w:val="100"/>
          <w:position w:val="0"/>
          <w:shd w:val="clear" w:color="auto" w:fill="auto"/>
          <w:lang w:val="he-IL" w:eastAsia="he-IL" w:bidi="he-IL"/>
          <w:rtl/>
        </w:rPr>
        <w:t xml:space="preserve">דף </w:t>
      </w:r>
      <w:r>
        <w:rPr>
          <w:rFonts w:ascii="FrankRuehl" w:eastAsia="FrankRuehl" w:hAnsi="FrankRuehl" w:cs="FrankRuehl"/>
          <w:color w:val="000000"/>
          <w:spacing w:val="0"/>
          <w:w w:val="100"/>
          <w:position w:val="0"/>
          <w:sz w:val="26"/>
          <w:szCs w:val="26"/>
          <w:shd w:val="clear" w:color="auto" w:fill="auto"/>
          <w:lang w:val="en-US" w:eastAsia="en-US" w:bidi="en-US"/>
        </w:rPr>
        <w:t>91</w:t>
      </w:r>
      <w:r>
        <w:rPr>
          <w:rFonts w:ascii="FrankRuehl" w:eastAsia="FrankRuehl" w:hAnsi="FrankRuehl" w:cs="FrankRuehl"/>
          <w:color w:val="000000"/>
          <w:spacing w:val="0"/>
          <w:w w:val="100"/>
          <w:position w:val="0"/>
          <w:sz w:val="26"/>
          <w:szCs w:val="26"/>
          <w:shd w:val="clear" w:color="auto" w:fill="auto"/>
          <w:lang w:val="he-IL" w:eastAsia="he-IL" w:bidi="he-IL"/>
          <w:rtl/>
        </w:rPr>
        <w:t xml:space="preserve">, </w:t>
      </w:r>
      <w:r>
        <w:rPr>
          <w:color w:val="000000"/>
          <w:spacing w:val="0"/>
          <w:w w:val="100"/>
          <w:position w:val="0"/>
          <w:shd w:val="clear" w:color="auto" w:fill="auto"/>
          <w:lang w:val="he-IL" w:eastAsia="he-IL" w:bidi="he-IL"/>
          <w:rtl/>
        </w:rPr>
        <w:t xml:space="preserve">ב, סי׳ ס״ד; ב,מ. דף </w:t>
      </w:r>
      <w:r>
        <w:rPr>
          <w:rFonts w:ascii="FrankRuehl" w:eastAsia="FrankRuehl" w:hAnsi="FrankRuehl" w:cs="FrankRuehl"/>
          <w:color w:val="000000"/>
          <w:spacing w:val="0"/>
          <w:w w:val="100"/>
          <w:position w:val="0"/>
          <w:sz w:val="26"/>
          <w:szCs w:val="26"/>
          <w:shd w:val="clear" w:color="auto" w:fill="auto"/>
          <w:lang w:val="en-US" w:eastAsia="en-US" w:bidi="en-US"/>
        </w:rPr>
        <w:t>40</w:t>
      </w:r>
      <w:r>
        <w:rPr>
          <w:rFonts w:ascii="FrankRuehl" w:eastAsia="FrankRuehl" w:hAnsi="FrankRuehl" w:cs="FrankRuehl"/>
          <w:color w:val="000000"/>
          <w:spacing w:val="0"/>
          <w:w w:val="100"/>
          <w:position w:val="0"/>
          <w:sz w:val="26"/>
          <w:szCs w:val="26"/>
          <w:shd w:val="clear" w:color="auto" w:fill="auto"/>
          <w:lang w:val="he-IL" w:eastAsia="he-IL" w:bidi="he-IL"/>
          <w:rtl/>
        </w:rPr>
        <w:t xml:space="preserve">, </w:t>
      </w:r>
      <w:r>
        <w:rPr>
          <w:color w:val="000000"/>
          <w:spacing w:val="0"/>
          <w:w w:val="100"/>
          <w:position w:val="0"/>
          <w:shd w:val="clear" w:color="auto" w:fill="auto"/>
          <w:lang w:val="he-IL" w:eastAsia="he-IL" w:bidi="he-IL"/>
          <w:rtl/>
        </w:rPr>
        <w:t>א סי׳ נ״ז.</w:t>
      </w:r>
    </w:p>
    <w:p>
      <w:pPr>
        <w:pStyle w:val="Style15"/>
        <w:keepNext w:val="0"/>
        <w:keepLines w:val="0"/>
        <w:widowControl w:val="0"/>
        <w:shd w:val="clear" w:color="auto" w:fill="auto"/>
        <w:spacing w:before="0" w:after="0" w:line="264" w:lineRule="auto"/>
        <w:ind w:left="0" w:right="0" w:firstLine="0"/>
        <w:jc w:val="both"/>
      </w:pPr>
      <w:r>
        <w:rPr>
          <w:rFonts w:ascii="FrankRuehl" w:eastAsia="FrankRuehl" w:hAnsi="FrankRuehl" w:cs="FrankRuehl"/>
          <w:color w:val="000000"/>
          <w:spacing w:val="0"/>
          <w:w w:val="100"/>
          <w:position w:val="0"/>
          <w:sz w:val="26"/>
          <w:szCs w:val="26"/>
          <w:shd w:val="clear" w:color="auto" w:fill="auto"/>
          <w:lang w:val="en-US" w:eastAsia="en-US" w:bidi="en-US"/>
        </w:rPr>
        <w:t>1</w:t>
      </w:r>
      <w:r>
        <w:rPr>
          <w:rFonts w:ascii="FrankRuehl" w:eastAsia="FrankRuehl" w:hAnsi="FrankRuehl" w:cs="FrankRuehl"/>
          <w:color w:val="000000"/>
          <w:spacing w:val="0"/>
          <w:w w:val="100"/>
          <w:position w:val="0"/>
          <w:sz w:val="26"/>
          <w:szCs w:val="26"/>
          <w:shd w:val="clear" w:color="auto" w:fill="auto"/>
          <w:lang w:val="he-IL" w:eastAsia="he-IL" w:bidi="he-IL"/>
          <w:rtl/>
        </w:rPr>
        <w:t xml:space="preserve"> </w:t>
      </w:r>
      <w:r>
        <w:rPr>
          <w:color w:val="000000"/>
          <w:spacing w:val="0"/>
          <w:w w:val="100"/>
          <w:position w:val="0"/>
          <w:shd w:val="clear" w:color="auto" w:fill="auto"/>
          <w:lang w:val="he-IL" w:eastAsia="he-IL" w:bidi="he-IL"/>
          <w:rtl/>
        </w:rPr>
        <w:t>יבמות מא, ב.</w:t>
      </w:r>
    </w:p>
    <w:p>
      <w:pPr>
        <w:pStyle w:val="Style15"/>
        <w:keepNext w:val="0"/>
        <w:keepLines w:val="0"/>
        <w:widowControl w:val="0"/>
        <w:shd w:val="clear" w:color="auto" w:fill="auto"/>
        <w:spacing w:before="0" w:after="0"/>
        <w:ind w:left="0" w:right="0" w:firstLine="0"/>
        <w:jc w:val="both"/>
      </w:pPr>
      <w:r>
        <w:rPr>
          <w:rFonts w:ascii="FrankRuehl" w:eastAsia="FrankRuehl" w:hAnsi="FrankRuehl" w:cs="FrankRuehl"/>
          <w:color w:val="000000"/>
          <w:spacing w:val="0"/>
          <w:w w:val="100"/>
          <w:position w:val="0"/>
          <w:sz w:val="26"/>
          <w:szCs w:val="26"/>
          <w:shd w:val="clear" w:color="auto" w:fill="auto"/>
          <w:lang w:val="en-US" w:eastAsia="en-US" w:bidi="en-US"/>
        </w:rPr>
        <w:t>2</w:t>
      </w:r>
      <w:r>
        <w:rPr>
          <w:rFonts w:ascii="FrankRuehl" w:eastAsia="FrankRuehl" w:hAnsi="FrankRuehl" w:cs="FrankRuehl"/>
          <w:color w:val="000000"/>
          <w:spacing w:val="0"/>
          <w:w w:val="100"/>
          <w:position w:val="0"/>
          <w:sz w:val="26"/>
          <w:szCs w:val="26"/>
          <w:shd w:val="clear" w:color="auto" w:fill="auto"/>
          <w:lang w:val="he-IL" w:eastAsia="he-IL" w:bidi="he-IL"/>
          <w:rtl/>
        </w:rPr>
        <w:t xml:space="preserve"> </w:t>
      </w:r>
      <w:r>
        <w:rPr>
          <w:color w:val="000000"/>
          <w:spacing w:val="0"/>
          <w:w w:val="100"/>
          <w:position w:val="0"/>
          <w:shd w:val="clear" w:color="auto" w:fill="auto"/>
          <w:lang w:val="he-IL" w:eastAsia="he-IL" w:bidi="he-IL"/>
          <w:rtl/>
        </w:rPr>
        <w:t xml:space="preserve">או״ז ח״א סי׳ תר״מ ובאו״ז הקצר יבמות (בש״ס ווילנא סוף דף </w:t>
      </w:r>
      <w:r>
        <w:rPr>
          <w:rFonts w:ascii="FrankRuehl" w:eastAsia="FrankRuehl" w:hAnsi="FrankRuehl" w:cs="FrankRuehl"/>
          <w:color w:val="000000"/>
          <w:spacing w:val="0"/>
          <w:w w:val="100"/>
          <w:position w:val="0"/>
          <w:sz w:val="26"/>
          <w:szCs w:val="26"/>
          <w:shd w:val="clear" w:color="auto" w:fill="auto"/>
          <w:lang w:val="en-US" w:eastAsia="en-US" w:bidi="en-US"/>
        </w:rPr>
        <w:t>48</w:t>
      </w:r>
      <w:r>
        <w:rPr>
          <w:rFonts w:ascii="FrankRuehl" w:eastAsia="FrankRuehl" w:hAnsi="FrankRuehl" w:cs="FrankRuehl"/>
          <w:color w:val="000000"/>
          <w:spacing w:val="0"/>
          <w:w w:val="100"/>
          <w:position w:val="0"/>
          <w:sz w:val="26"/>
          <w:szCs w:val="26"/>
          <w:shd w:val="clear" w:color="auto" w:fill="auto"/>
          <w:lang w:val="he-IL" w:eastAsia="he-IL" w:bidi="he-IL"/>
          <w:rtl/>
        </w:rPr>
        <w:t xml:space="preserve">) </w:t>
      </w:r>
      <w:r>
        <w:rPr>
          <w:color w:val="000000"/>
          <w:spacing w:val="0"/>
          <w:w w:val="100"/>
          <w:position w:val="0"/>
          <w:shd w:val="clear" w:color="auto" w:fill="auto"/>
          <w:lang w:val="he-IL" w:eastAsia="he-IL" w:bidi="he-IL"/>
          <w:rtl/>
        </w:rPr>
        <w:t>על יד אות נ״ב. וז״ל הקצר "בספר המקצועות משם רבינו נתן בן רבינו חנניה גאון זצ״ל, דיבמה שנפלה לפני יבם קטן שניזונית שלשה חדשים הראשונים משל בעלה, מכאן ואילך אם בקשה מקצת ממון מנדוניא שלה ונתנה עליהן ערב נותנים לה על ידי ערב או לתגרין שיהו נושאין ונותבין בהם בשביל מזונותיה עד שיגדל הבער, אם הוא מייבם אותה יחזיר הממון למקומו, ואם יחלוץ אותה תגבה ממנו כל מה שכתב לה בין מעט בין הרבה עד גמירא כו"׳.</w:t>
      </w:r>
    </w:p>
    <w:p>
      <w:pPr>
        <w:pStyle w:val="Style15"/>
        <w:keepNext w:val="0"/>
        <w:keepLines w:val="0"/>
        <w:widowControl w:val="0"/>
        <w:shd w:val="clear" w:color="auto" w:fill="auto"/>
        <w:spacing w:before="0" w:after="0" w:line="257" w:lineRule="auto"/>
        <w:ind w:left="0" w:right="0" w:firstLine="0"/>
        <w:jc w:val="both"/>
      </w:pPr>
      <w:r>
        <w:rPr>
          <w:rFonts w:ascii="FrankRuehl" w:eastAsia="FrankRuehl" w:hAnsi="FrankRuehl" w:cs="FrankRuehl"/>
          <w:color w:val="000000"/>
          <w:spacing w:val="0"/>
          <w:w w:val="100"/>
          <w:position w:val="0"/>
          <w:sz w:val="26"/>
          <w:szCs w:val="26"/>
          <w:shd w:val="clear" w:color="auto" w:fill="auto"/>
          <w:lang w:val="en-US" w:eastAsia="en-US" w:bidi="en-US"/>
        </w:rPr>
        <w:t>3</w:t>
      </w:r>
      <w:r>
        <w:rPr>
          <w:rFonts w:ascii="FrankRuehl" w:eastAsia="FrankRuehl" w:hAnsi="FrankRuehl" w:cs="FrankRuehl"/>
          <w:color w:val="000000"/>
          <w:spacing w:val="0"/>
          <w:w w:val="100"/>
          <w:position w:val="0"/>
          <w:sz w:val="26"/>
          <w:szCs w:val="26"/>
          <w:shd w:val="clear" w:color="auto" w:fill="auto"/>
          <w:lang w:val="he-IL" w:eastAsia="he-IL" w:bidi="he-IL"/>
          <w:rtl/>
        </w:rPr>
        <w:t xml:space="preserve"> </w:t>
      </w:r>
      <w:r>
        <w:rPr>
          <w:color w:val="000000"/>
          <w:spacing w:val="0"/>
          <w:w w:val="100"/>
          <w:position w:val="0"/>
          <w:shd w:val="clear" w:color="auto" w:fill="auto"/>
          <w:lang w:val="he-IL" w:eastAsia="he-IL" w:bidi="he-IL"/>
          <w:rtl/>
        </w:rPr>
        <w:t>תקנות קהילות שו״ם, מובאים בשו״ת מהר״ם מינ׳ן סי׳ י׳ ושם מבואר שמחלהים הנכסים בין</w:t>
      </w:r>
    </w:p>
    <w:p>
      <w:pPr>
        <w:pStyle w:val="Style15"/>
        <w:keepNext w:val="0"/>
        <w:keepLines w:val="0"/>
        <w:widowControl w:val="0"/>
        <w:shd w:val="clear" w:color="auto" w:fill="auto"/>
        <w:spacing w:before="0" w:after="0" w:line="240" w:lineRule="auto"/>
        <w:ind w:left="0" w:right="0" w:firstLine="400"/>
        <w:jc w:val="both"/>
      </w:pPr>
      <w:r>
        <w:rPr>
          <w:color w:val="000000"/>
          <w:spacing w:val="0"/>
          <w:w w:val="100"/>
          <w:position w:val="0"/>
          <w:shd w:val="clear" w:color="auto" w:fill="auto"/>
          <w:lang w:val="he-IL" w:eastAsia="he-IL" w:bidi="he-IL"/>
          <w:rtl/>
        </w:rPr>
        <w:t>ג) ליחלק, נ.מ. ד) נדוניית׳ וטעוז׳</w:t>
      </w:r>
    </w:p>
    <w:p>
      <w:pPr>
        <w:pStyle w:val="Style15"/>
        <w:keepNext w:val="0"/>
        <w:keepLines w:val="0"/>
        <w:widowControl w:val="0"/>
        <w:shd w:val="clear" w:color="auto" w:fill="auto"/>
        <w:spacing w:before="0" w:after="0" w:line="240" w:lineRule="auto"/>
        <w:ind w:left="0" w:right="0" w:firstLine="620"/>
        <w:jc w:val="both"/>
      </w:pPr>
      <w:r>
        <w:rPr>
          <w:color w:val="000000"/>
          <w:spacing w:val="0"/>
          <w:w w:val="100"/>
          <w:position w:val="0"/>
          <w:shd w:val="clear" w:color="auto" w:fill="auto"/>
          <w:lang w:val="he-IL" w:eastAsia="he-IL" w:bidi="he-IL"/>
          <w:rtl/>
        </w:rPr>
        <w:t xml:space="preserve">ו) דגמור׳, </w:t>
      </w:r>
      <w:r>
        <w:rPr>
          <w:rFonts w:ascii="FrankRuehl" w:eastAsia="FrankRuehl" w:hAnsi="FrankRuehl" w:cs="FrankRuehl"/>
          <w:color w:val="000000"/>
          <w:spacing w:val="0"/>
          <w:w w:val="100"/>
          <w:position w:val="0"/>
          <w:sz w:val="26"/>
          <w:szCs w:val="26"/>
          <w:shd w:val="clear" w:color="auto" w:fill="auto"/>
          <w:lang w:val="en-US" w:eastAsia="en-US" w:bidi="en-US"/>
        </w:rPr>
        <w:t>3</w:t>
      </w:r>
      <w:r>
        <w:rPr>
          <w:rFonts w:ascii="FrankRuehl" w:eastAsia="FrankRuehl" w:hAnsi="FrankRuehl" w:cs="FrankRuehl"/>
          <w:color w:val="000000"/>
          <w:spacing w:val="0"/>
          <w:w w:val="100"/>
          <w:position w:val="0"/>
          <w:sz w:val="26"/>
          <w:szCs w:val="26"/>
          <w:shd w:val="clear" w:color="auto" w:fill="auto"/>
          <w:lang w:val="he-IL" w:eastAsia="he-IL" w:bidi="he-IL"/>
          <w:rtl/>
        </w:rPr>
        <w:t>.</w:t>
      </w:r>
      <w:r>
        <w:rPr>
          <w:color w:val="000000"/>
          <w:spacing w:val="0"/>
          <w:w w:val="100"/>
          <w:position w:val="0"/>
          <w:shd w:val="clear" w:color="auto" w:fill="auto"/>
          <w:lang w:val="he-IL" w:eastAsia="he-IL" w:bidi="he-IL"/>
          <w:rtl/>
        </w:rPr>
        <w:t xml:space="preserve">מ., ומלה זו נר׳ מיותרת </w:t>
      </w:r>
      <w:r>
        <w:rPr>
          <w:color w:val="000000"/>
          <w:spacing w:val="0"/>
          <w:w w:val="100"/>
          <w:position w:val="0"/>
          <w:shd w:val="clear" w:color="auto" w:fill="auto"/>
          <w:lang w:val="he-IL" w:eastAsia="he-IL" w:bidi="he-IL"/>
          <w:rtl/>
        </w:rPr>
        <w:t>החולץ ובין היבמה חצי לו וחצי לה בד״א כשחצי הנכסים אינם יותר מכתובתה אבל אם הם יותר הברירה ביד החולץ לתת או הכתובה או חצי נכסים. ולהלכה עיין רמ״א אה״ע סי׳ קס״ה סעיף ד׳,</w:t>
      </w:r>
    </w:p>
    <w:p>
      <w:pPr>
        <w:pStyle w:val="Style15"/>
        <w:keepNext w:val="0"/>
        <w:keepLines w:val="0"/>
        <w:widowControl w:val="0"/>
        <w:numPr>
          <w:ilvl w:val="0"/>
          <w:numId w:val="1"/>
        </w:numPr>
        <w:shd w:val="clear" w:color="auto" w:fill="auto"/>
        <w:tabs>
          <w:tab w:pos="320" w:val="left"/>
        </w:tabs>
        <w:spacing w:before="0" w:after="0" w:line="288" w:lineRule="auto"/>
        <w:ind w:left="0" w:right="0" w:firstLine="0"/>
        <w:jc w:val="both"/>
      </w:pPr>
      <w:r>
        <w:rPr>
          <w:color w:val="000000"/>
          <w:spacing w:val="0"/>
          <w:w w:val="100"/>
          <w:position w:val="0"/>
          <w:shd w:val="clear" w:color="auto" w:fill="auto"/>
          <w:lang w:val="he-IL" w:eastAsia="he-IL" w:bidi="he-IL"/>
          <w:rtl/>
        </w:rPr>
        <w:t>מרדכי כתובות סוף סי׳ קפ״ו, מב״ב ד״פ סי׳ תמ״ב. ודינא דמתיבתא ברי״ף כתובות על דף סג, ב וברא״ש שם פ״ה סי׳ ל״ה.</w:t>
      </w:r>
    </w:p>
    <w:p>
      <w:pPr>
        <w:pStyle w:val="Style15"/>
        <w:keepNext w:val="0"/>
        <w:keepLines w:val="0"/>
        <w:widowControl w:val="0"/>
        <w:numPr>
          <w:ilvl w:val="0"/>
          <w:numId w:val="1"/>
        </w:numPr>
        <w:shd w:val="clear" w:color="auto" w:fill="auto"/>
        <w:tabs>
          <w:tab w:pos="320" w:val="left"/>
        </w:tabs>
        <w:spacing w:before="0" w:after="0"/>
        <w:ind w:left="0" w:right="0" w:firstLine="0"/>
        <w:jc w:val="both"/>
      </w:pPr>
      <w:r>
        <w:rPr>
          <w:color w:val="000000"/>
          <w:spacing w:val="0"/>
          <w:w w:val="100"/>
          <w:position w:val="0"/>
          <w:shd w:val="clear" w:color="auto" w:fill="auto"/>
          <w:lang w:val="he-IL" w:eastAsia="he-IL" w:bidi="he-IL"/>
          <w:rtl/>
        </w:rPr>
        <w:t>רש״י ור״ת בטור אה״ע סוף סי׳ ק״ם גם הרמב״ם והוא בפרק כ״ב דאישות ה״י. לרש״י יש ליבם מחצה בפירות נכסי צאן ברזל בחייה אם נפלו לה כשהיא שומרת יבם ולר״ת יש לו כל חפירות ולרמב״ם אין לו בכלל פירות אפילו בנכסי צאן ברזל אפילו הכניסה אותם לרשות בעלה המת.</w:t>
      </w:r>
    </w:p>
    <w:p>
      <w:pPr>
        <w:pStyle w:val="Style15"/>
        <w:keepNext w:val="0"/>
        <w:keepLines w:val="0"/>
        <w:widowControl w:val="0"/>
        <w:numPr>
          <w:ilvl w:val="0"/>
          <w:numId w:val="1"/>
        </w:numPr>
        <w:shd w:val="clear" w:color="auto" w:fill="auto"/>
        <w:tabs>
          <w:tab w:pos="320" w:val="left"/>
        </w:tabs>
        <w:spacing w:before="0" w:after="0" w:line="288" w:lineRule="auto"/>
        <w:ind w:left="0" w:right="0" w:firstLine="0"/>
        <w:jc w:val="both"/>
        <w:sectPr>
          <w:footnotePr>
            <w:pos w:val="pageBottom"/>
            <w:numFmt w:val="decimal"/>
            <w:numRestart w:val="continuous"/>
          </w:footnotePr>
          <w:type w:val="continuous"/>
          <w:pgSz w:w="11900" w:h="16840"/>
          <w:pgMar w:top="481" w:right="954" w:bottom="257" w:left="1083" w:header="0" w:footer="3" w:gutter="0"/>
          <w:cols w:num="2" w:space="206"/>
          <w:noEndnote/>
          <w:bidi/>
          <w:rtlGutter w:val="0"/>
          <w:docGrid w:linePitch="360"/>
        </w:sectPr>
      </w:pPr>
      <w:r>
        <w:rPr>
          <w:color w:val="000000"/>
          <w:spacing w:val="0"/>
          <w:w w:val="100"/>
          <w:position w:val="0"/>
          <w:shd w:val="clear" w:color="auto" w:fill="auto"/>
          <w:lang w:val="he-IL" w:eastAsia="he-IL" w:bidi="he-IL"/>
          <w:rtl/>
        </w:rPr>
        <w:t>במהר״ם מינץ סי׳ י׳ ושם בתקנות החדשות חתום שם אבי מהרי״ל, רבי משה ב״ר יקותיאל הלוי מולין. ועיין בדרכי משה אה״ע סי׳ ק״ס אות ג בשם הגמ״ר באשה אחת שמת בעלה תור</w:t>
      </w:r>
    </w:p>
    <w:p>
      <w:pPr>
        <w:rPr>
          <w:sz w:val="2"/>
          <w:szCs w:val="2"/>
        </w:rPr>
        <w:sectPr>
          <w:footnotePr>
            <w:pos w:val="pageBottom"/>
            <w:numFmt w:val="decimal"/>
            <w:numRestart w:val="continuous"/>
          </w:footnotePr>
          <w:type w:val="continuous"/>
          <w:pgSz w:w="11900" w:h="16840"/>
          <w:pgMar w:top="481" w:right="954" w:bottom="257" w:left="1083" w:header="0" w:footer="3" w:gutter="0"/>
          <w:cols w:num="2" w:space="206"/>
          <w:noEndnote/>
          <w:rtlGutter w:val="0"/>
          <w:docGrid w:linePitch="360"/>
        </w:sectPr>
      </w:pPr>
    </w:p>
    <w:p>
      <w:pPr>
        <w:pStyle w:val="Style5"/>
        <w:keepNext w:val="0"/>
        <w:keepLines w:val="0"/>
        <w:widowControl w:val="0"/>
        <w:shd w:val="clear" w:color="auto" w:fill="auto"/>
        <w:tabs>
          <w:tab w:pos="9346" w:val="left"/>
        </w:tabs>
        <w:spacing w:before="0" w:after="200"/>
        <w:ind w:left="0" w:right="0" w:firstLine="0"/>
        <w:jc w:val="both"/>
      </w:pPr>
      <w:r>
        <w:rPr>
          <w:color w:val="000000"/>
          <w:spacing w:val="0"/>
          <w:w w:val="100"/>
          <w:position w:val="0"/>
          <w:shd w:val="clear" w:color="auto" w:fill="auto"/>
          <w:lang w:val="he-IL" w:eastAsia="he-IL" w:bidi="he-IL"/>
          <w:rtl/>
        </w:rPr>
        <w:t>אבן העזר סימן רזז</w:t>
        <w:tab/>
        <w:t>שמט</w:t>
      </w:r>
    </w:p>
    <w:p>
      <w:pPr>
        <w:pStyle w:val="Style5"/>
        <w:keepNext w:val="0"/>
        <w:keepLines w:val="0"/>
        <w:widowControl w:val="0"/>
        <w:shd w:val="clear" w:color="auto" w:fill="auto"/>
        <w:tabs>
          <w:tab w:leader="dot" w:pos="4526" w:val="left"/>
        </w:tabs>
        <w:spacing w:before="0" w:after="0"/>
        <w:ind w:left="0" w:right="0" w:firstLine="0"/>
        <w:jc w:val="both"/>
      </w:pPr>
      <w:r>
        <w:rPr>
          <w:color w:val="000000"/>
          <w:spacing w:val="0"/>
          <w:w w:val="100"/>
          <w:position w:val="0"/>
          <w:shd w:val="clear" w:color="auto" w:fill="auto"/>
          <w:lang w:val="he-IL" w:eastAsia="he-IL" w:bidi="he-IL"/>
          <w:rtl/>
        </w:rPr>
        <w:t>[לה] ב) נדונייתא הקת הואיל ואי</w:t>
        <w:tab/>
      </w:r>
      <w:r>
        <w:rPr>
          <w:rFonts w:ascii="Arial" w:eastAsia="Arial" w:hAnsi="Arial" w:cs="Arial"/>
          <w:b w:val="0"/>
          <w:bCs w:val="0"/>
          <w:color w:val="000000"/>
          <w:spacing w:val="0"/>
          <w:w w:val="100"/>
          <w:position w:val="0"/>
          <w:sz w:val="26"/>
          <w:szCs w:val="26"/>
          <w:shd w:val="clear" w:color="auto" w:fill="auto"/>
          <w:lang w:val="en-US" w:eastAsia="en-US" w:bidi="en-US"/>
        </w:rPr>
        <w:t>n</w:t>
      </w:r>
      <w:r>
        <w:rPr>
          <w:rFonts w:ascii="Arial" w:eastAsia="Arial" w:hAnsi="Arial" w:cs="Arial"/>
          <w:b w:val="0"/>
          <w:bCs w:val="0"/>
          <w:color w:val="000000"/>
          <w:spacing w:val="0"/>
          <w:w w:val="100"/>
          <w:position w:val="0"/>
          <w:sz w:val="26"/>
          <w:szCs w:val="26"/>
          <w:shd w:val="clear" w:color="auto" w:fill="auto"/>
          <w:lang w:val="he-IL" w:eastAsia="he-IL" w:bidi="he-IL"/>
          <w:rtl/>
        </w:rPr>
        <w:t xml:space="preserve">) </w:t>
      </w:r>
      <w:r>
        <w:rPr>
          <w:color w:val="000000"/>
          <w:spacing w:val="0"/>
          <w:w w:val="100"/>
          <w:position w:val="0"/>
          <w:shd w:val="clear" w:color="auto" w:fill="auto"/>
          <w:lang w:val="he-IL" w:eastAsia="he-IL" w:bidi="he-IL"/>
          <w:rtl/>
        </w:rPr>
        <w:t>לה א&amp;י׳ כולה לר״ת וגם אי מתמוטטין אידך</w:t>
      </w:r>
    </w:p>
    <w:p>
      <w:pPr>
        <w:pStyle w:val="Style5"/>
        <w:keepNext w:val="0"/>
        <w:keepLines w:val="0"/>
        <w:widowControl w:val="0"/>
        <w:shd w:val="clear" w:color="auto" w:fill="auto"/>
        <w:spacing w:before="0" w:after="0"/>
        <w:ind w:left="0" w:right="0" w:firstLine="0"/>
        <w:jc w:val="both"/>
      </w:pPr>
      <w:r>
        <w:rPr>
          <w:color w:val="000000"/>
          <w:spacing w:val="0"/>
          <w:w w:val="100"/>
          <w:position w:val="0"/>
          <w:shd w:val="clear" w:color="auto" w:fill="auto"/>
          <w:lang w:val="he-IL" w:eastAsia="he-IL" w:bidi="he-IL"/>
          <w:rtl/>
        </w:rPr>
        <w:t>[כלומר] ב) פלגא איה ליה זכותא בהכי ט).</w:t>
      </w:r>
    </w:p>
    <w:p>
      <w:pPr>
        <w:pStyle w:val="Style5"/>
        <w:keepNext w:val="0"/>
        <w:keepLines w:val="0"/>
        <w:widowControl w:val="0"/>
        <w:shd w:val="clear" w:color="auto" w:fill="auto"/>
        <w:tabs>
          <w:tab w:leader="dot" w:pos="2093" w:val="left"/>
        </w:tabs>
        <w:spacing w:before="0" w:after="0"/>
        <w:ind w:left="0" w:right="0" w:firstLine="280"/>
        <w:jc w:val="both"/>
      </w:pPr>
      <w:r>
        <w:rPr>
          <w:color w:val="000000"/>
          <w:spacing w:val="0"/>
          <w:w w:val="100"/>
          <w:position w:val="0"/>
          <w:shd w:val="clear" w:color="auto" w:fill="auto"/>
          <w:lang w:val="he-IL" w:eastAsia="he-IL" w:bidi="he-IL"/>
          <w:rtl/>
        </w:rPr>
        <w:t>וכל מה שכתבתי שתיזון ע״י ריוחי) בחצי הנכסים, היינו אם הכניסה לבדן בערך חצי נכסים אלו או יותר, אבל אם לא הכניסה כ״כ לא ההא ניזונה אלא מערך נדוניית/ דלא כתב א״ז אלא נדוניית/ ובירור זה לא סמכיבן אשטר כתובה שכתוב בר ודן נדוניא כר, דהבי נהי גי לכתוב בשוה בכל כתרבות לכבוד הכלה כמה שפי׳ ראבי״ה</w:t>
      </w:r>
      <w:r>
        <w:rPr>
          <w:color w:val="000000"/>
          <w:spacing w:val="0"/>
          <w:w w:val="100"/>
          <w:position w:val="0"/>
          <w:shd w:val="clear" w:color="auto" w:fill="auto"/>
          <w:vertAlign w:val="superscript"/>
          <w:lang w:val="en-US" w:eastAsia="en-US" w:bidi="en-US"/>
        </w:rPr>
        <w:t>8</w:t>
      </w:r>
      <w:r>
        <w:rPr>
          <w:color w:val="000000"/>
          <w:spacing w:val="0"/>
          <w:w w:val="100"/>
          <w:position w:val="0"/>
          <w:shd w:val="clear" w:color="auto" w:fill="auto"/>
          <w:lang w:val="he-IL" w:eastAsia="he-IL" w:bidi="he-IL"/>
          <w:rtl/>
        </w:rPr>
        <w:t xml:space="preserve"> וכן ריצב״א</w:t>
      </w:r>
      <w:r>
        <w:rPr>
          <w:color w:val="000000"/>
          <w:spacing w:val="0"/>
          <w:w w:val="100"/>
          <w:position w:val="0"/>
          <w:shd w:val="clear" w:color="auto" w:fill="auto"/>
          <w:vertAlign w:val="superscript"/>
          <w:lang w:val="en-US" w:eastAsia="en-US" w:bidi="en-US"/>
        </w:rPr>
        <w:t>9</w:t>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he-IL" w:eastAsia="he-IL" w:bidi="he-IL"/>
          <w:rtl/>
        </w:rPr>
        <w:t>בתשובה פ׳</w:t>
        <w:tab/>
        <w:t>יא) ואידך פלגא יהבינן ליה יב) לנאמן ג״כ ליזון היתום מהרירח. והקרן</w:t>
      </w:r>
    </w:p>
    <w:p>
      <w:pPr>
        <w:pStyle w:val="Style5"/>
        <w:keepNext w:val="0"/>
        <w:keepLines w:val="0"/>
        <w:widowControl w:val="0"/>
        <w:shd w:val="clear" w:color="auto" w:fill="auto"/>
        <w:spacing w:before="0" w:after="0"/>
        <w:ind w:left="0" w:right="0" w:firstLine="0"/>
        <w:jc w:val="both"/>
      </w:pPr>
      <w:r>
        <w:rPr>
          <w:color w:val="000000"/>
          <w:spacing w:val="0"/>
          <w:w w:val="100"/>
          <w:position w:val="0"/>
          <w:shd w:val="clear" w:color="auto" w:fill="auto"/>
          <w:lang w:val="he-IL" w:eastAsia="he-IL" w:bidi="he-IL"/>
          <w:rtl/>
        </w:rPr>
        <w:t>לא מכלינן כיון דאית לה שיעבוד כתובתה עליו, ואי מיית יתמא תגבנר בכתובתה, ובזמן יג) הזה מטלטלי!</w:t>
      </w:r>
      <w:r>
        <w:rPr>
          <w:color w:val="000000"/>
          <w:spacing w:val="0"/>
          <w:w w:val="100"/>
          <w:position w:val="0"/>
          <w:shd w:val="clear" w:color="auto" w:fill="auto"/>
          <w:vertAlign w:val="superscript"/>
          <w:lang w:val="en-US" w:eastAsia="en-US" w:bidi="en-US"/>
        </w:rPr>
        <w:t>10</w:t>
      </w:r>
      <w:r>
        <w:rPr>
          <w:color w:val="000000"/>
          <w:spacing w:val="0"/>
          <w:w w:val="100"/>
          <w:position w:val="0"/>
          <w:shd w:val="clear" w:color="auto" w:fill="auto"/>
          <w:lang w:val="he-IL" w:eastAsia="he-IL" w:bidi="he-IL"/>
          <w:rtl/>
        </w:rPr>
        <w:t xml:space="preserve"> משתעבדי לכתובת/ ומסקנת הרא״ש דהאידנא עבדינן אפי׳ יד) חומרות בכתובה סוף פרק האשה שנפלו</w:t>
      </w:r>
      <w:r>
        <w:rPr>
          <w:color w:val="000000"/>
          <w:spacing w:val="0"/>
          <w:w w:val="100"/>
          <w:position w:val="0"/>
          <w:shd w:val="clear" w:color="auto" w:fill="auto"/>
          <w:vertAlign w:val="superscript"/>
          <w:lang w:val="en-US" w:eastAsia="en-US" w:bidi="en-US"/>
        </w:rPr>
        <w:footnoteReference w:id="2"/>
      </w:r>
      <w:r>
        <w:rPr>
          <w:color w:val="000000"/>
          <w:spacing w:val="0"/>
          <w:w w:val="100"/>
          <w:position w:val="0"/>
          <w:shd w:val="clear" w:color="auto" w:fill="auto"/>
          <w:lang w:val="he-IL" w:eastAsia="he-IL" w:bidi="he-IL"/>
          <w:rtl/>
        </w:rPr>
        <w:t>. ראע״ג דהראב״ד</w:t>
      </w:r>
      <w:r>
        <w:rPr>
          <w:color w:val="000000"/>
          <w:spacing w:val="0"/>
          <w:w w:val="100"/>
          <w:position w:val="0"/>
          <w:shd w:val="clear" w:color="auto" w:fill="auto"/>
          <w:vertAlign w:val="superscript"/>
          <w:lang w:val="en-US" w:eastAsia="en-US" w:bidi="en-US"/>
        </w:rPr>
        <w:footnoteReference w:id="3"/>
      </w:r>
      <w:r>
        <w:rPr>
          <w:color w:val="000000"/>
          <w:spacing w:val="0"/>
          <w:w w:val="100"/>
          <w:position w:val="0"/>
          <w:shd w:val="clear" w:color="auto" w:fill="auto"/>
          <w:lang w:val="he-IL" w:eastAsia="he-IL" w:bidi="he-IL"/>
          <w:rtl/>
        </w:rPr>
        <w:t xml:space="preserve"> והרמב״ם</w:t>
      </w:r>
      <w:r>
        <w:rPr>
          <w:color w:val="000000"/>
          <w:spacing w:val="0"/>
          <w:w w:val="100"/>
          <w:position w:val="0"/>
          <w:shd w:val="clear" w:color="auto" w:fill="auto"/>
          <w:vertAlign w:val="superscript"/>
          <w:lang w:val="en-US" w:eastAsia="en-US" w:bidi="en-US"/>
        </w:rPr>
        <w:footnoteReference w:id="4"/>
      </w:r>
      <w:r>
        <w:rPr>
          <w:color w:val="000000"/>
          <w:spacing w:val="0"/>
          <w:w w:val="100"/>
          <w:position w:val="0"/>
          <w:shd w:val="clear" w:color="auto" w:fill="auto"/>
          <w:lang w:val="he-IL" w:eastAsia="he-IL" w:bidi="he-IL"/>
          <w:rtl/>
        </w:rPr>
        <w:t xml:space="preserve"> לא סבירא להו הכי, מ״מ בהאי ערבדא אץ היתום מוחזק ואין לו אלא מכח תקנת הקהילות דשקלטו) חצי לכשיחלוץ, ואי מכליא הך פלגא קרנא ידחוק את היבמה שתחלוק עוד עמר באידך פלגא, הילכך מסתברא דלא מכלינן הך פלגא דידיה.</w:t>
      </w:r>
    </w:p>
    <w:p>
      <w:pPr>
        <w:pStyle w:val="Style5"/>
        <w:keepNext w:val="0"/>
        <w:keepLines w:val="0"/>
        <w:widowControl w:val="0"/>
        <w:shd w:val="clear" w:color="auto" w:fill="auto"/>
        <w:spacing w:before="0" w:after="260"/>
        <w:ind w:left="0" w:right="0" w:firstLine="280"/>
        <w:jc w:val="both"/>
      </w:pPr>
      <w:r>
        <w:rPr>
          <w:color w:val="000000"/>
          <w:spacing w:val="0"/>
          <w:w w:val="100"/>
          <w:position w:val="0"/>
          <w:shd w:val="clear" w:color="auto" w:fill="auto"/>
          <w:lang w:val="he-IL" w:eastAsia="he-IL" w:bidi="he-IL"/>
          <w:rtl/>
        </w:rPr>
        <w:t>ולא דמי גמי לנכסים מועטים דפסקו רבוותא דאע״ג דמתקנת הגאונים ניזונות הבנות ממטלטלין, מ״מ לא אמרינן במטלטלין הבנות ניזונות והבנים יחזרו על הפתחים</w:t>
      </w:r>
      <w:r>
        <w:rPr>
          <w:color w:val="000000"/>
          <w:spacing w:val="0"/>
          <w:w w:val="100"/>
          <w:position w:val="0"/>
          <w:shd w:val="clear" w:color="auto" w:fill="auto"/>
          <w:vertAlign w:val="superscript"/>
          <w:lang w:val="en-US" w:eastAsia="en-US" w:bidi="en-US"/>
        </w:rPr>
        <w:footnoteReference w:id="5"/>
      </w:r>
      <w:r>
        <w:rPr>
          <w:color w:val="000000"/>
          <w:spacing w:val="0"/>
          <w:w w:val="100"/>
          <w:position w:val="0"/>
          <w:shd w:val="clear" w:color="auto" w:fill="auto"/>
          <w:lang w:val="he-IL" w:eastAsia="he-IL" w:bidi="he-IL"/>
          <w:rtl/>
        </w:rPr>
        <w:t xml:space="preserve">, היינו התם דירתי הבנים מדיבא הכל ולא דחינן להו ע״י תקנת גאונים, אבל [בנדון דידן]ב) מטלטלין משתעבדי לכתובה מ״מטז) בין יחלוץ בין ייבם ואלימא שיעבוד כתובה ומדינה לא היה לו לפחות לה כלום, אלא מכה תקנת הקהילות חולק עמה מכח פלוגתא דרבורתא </w:t>
      </w:r>
      <w:r>
        <w:rPr>
          <w:color w:val="000000"/>
          <w:spacing w:val="0"/>
          <w:w w:val="100"/>
          <w:position w:val="0"/>
          <w:shd w:val="clear" w:color="auto" w:fill="auto"/>
          <w:vertAlign w:val="superscript"/>
          <w:lang w:val="en-US" w:eastAsia="en-US" w:bidi="en-US"/>
        </w:rPr>
        <w:footnoteReference w:id="6"/>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he-IL" w:eastAsia="he-IL" w:bidi="he-IL"/>
          <w:rtl/>
        </w:rPr>
        <w:t>והרי אפי׳ אם יינכויז) הכל משועבד לה דאלמוה רבנן לשיעבודה על נכסי בעלה הראשון.</w:t>
      </w:r>
    </w:p>
    <w:p>
      <w:pPr>
        <w:pStyle w:val="Style15"/>
        <w:keepNext w:val="0"/>
        <w:keepLines w:val="0"/>
        <w:widowControl w:val="0"/>
        <w:shd w:val="clear" w:color="auto" w:fill="auto"/>
        <w:spacing w:before="0" w:after="0" w:line="266" w:lineRule="auto"/>
        <w:ind w:left="0" w:right="0" w:firstLine="0"/>
        <w:jc w:val="both"/>
        <w:sectPr>
          <w:footnotePr>
            <w:pos w:val="pageBottom"/>
            <w:numFmt w:val="decimal"/>
            <w:numStart w:val="11"/>
            <w:numRestart w:val="continuous"/>
            <w15:footnoteColumns w:val="1"/>
          </w:footnotePr>
          <w:pgSz w:w="11900" w:h="16840"/>
          <w:pgMar w:top="457" w:right="934" w:bottom="228" w:left="1054" w:header="29" w:footer="3" w:gutter="0"/>
          <w:cols w:space="720"/>
          <w:noEndnote/>
          <w:bidi/>
          <w:rtlGutter w:val="0"/>
          <w:docGrid w:linePitch="360"/>
        </w:sectPr>
      </w:pPr>
      <w:r>
        <w:rPr>
          <w:color w:val="000000"/>
          <w:spacing w:val="0"/>
          <w:w w:val="100"/>
          <w:position w:val="0"/>
          <w:shd w:val="clear" w:color="auto" w:fill="auto"/>
          <w:lang w:val="he-IL" w:eastAsia="he-IL" w:bidi="he-IL"/>
          <w:rtl/>
        </w:rPr>
        <w:t xml:space="preserve">ח) </w:t>
      </w:r>
      <w:r>
        <w:rPr>
          <w:rFonts w:ascii="FrankRuehl" w:eastAsia="FrankRuehl" w:hAnsi="FrankRuehl" w:cs="FrankRuehl"/>
          <w:color w:val="000000"/>
          <w:spacing w:val="0"/>
          <w:w w:val="100"/>
          <w:position w:val="0"/>
          <w:sz w:val="26"/>
          <w:szCs w:val="26"/>
          <w:shd w:val="clear" w:color="auto" w:fill="auto"/>
          <w:lang w:val="en-US" w:eastAsia="en-US" w:bidi="en-US"/>
        </w:rPr>
        <w:t>3</w:t>
      </w:r>
      <w:r>
        <w:rPr>
          <w:color w:val="000000"/>
          <w:spacing w:val="0"/>
          <w:w w:val="100"/>
          <w:position w:val="0"/>
          <w:shd w:val="clear" w:color="auto" w:fill="auto"/>
          <w:lang w:val="he-IL" w:eastAsia="he-IL" w:bidi="he-IL"/>
          <w:rtl/>
        </w:rPr>
        <w:t xml:space="preserve">ב.מ. יש כאן ריות גדול, וגאה. </w:t>
      </w:r>
      <w:r>
        <w:rPr>
          <w:rFonts w:ascii="FrankRuehl" w:eastAsia="FrankRuehl" w:hAnsi="FrankRuehl" w:cs="FrankRuehl"/>
          <w:color w:val="000000"/>
          <w:spacing w:val="0"/>
          <w:w w:val="100"/>
          <w:position w:val="0"/>
          <w:sz w:val="26"/>
          <w:szCs w:val="26"/>
          <w:shd w:val="clear" w:color="auto" w:fill="auto"/>
          <w:lang w:val="en-US" w:eastAsia="en-US" w:bidi="en-US"/>
        </w:rPr>
        <w:t>74</w:t>
      </w:r>
      <w:r>
        <w:rPr>
          <w:rFonts w:ascii="FrankRuehl" w:eastAsia="FrankRuehl" w:hAnsi="FrankRuehl" w:cs="FrankRuehl"/>
          <w:color w:val="000000"/>
          <w:spacing w:val="0"/>
          <w:w w:val="100"/>
          <w:position w:val="0"/>
          <w:sz w:val="26"/>
          <w:szCs w:val="26"/>
          <w:shd w:val="clear" w:color="auto" w:fill="auto"/>
          <w:lang w:val="he-IL" w:eastAsia="he-IL" w:bidi="he-IL"/>
          <w:rtl/>
        </w:rPr>
        <w:t xml:space="preserve"> </w:t>
      </w:r>
      <w:r>
        <w:rPr>
          <w:color w:val="000000"/>
          <w:spacing w:val="0"/>
          <w:w w:val="100"/>
          <w:position w:val="0"/>
          <w:shd w:val="clear" w:color="auto" w:fill="auto"/>
          <w:lang w:val="he-IL" w:eastAsia="he-IL" w:bidi="he-IL"/>
          <w:rtl/>
        </w:rPr>
        <w:t xml:space="preserve">קטן. ט) </w:t>
      </w:r>
      <w:r>
        <w:rPr>
          <w:rFonts w:ascii="FrankRuehl" w:eastAsia="FrankRuehl" w:hAnsi="FrankRuehl" w:cs="FrankRuehl"/>
          <w:color w:val="000000"/>
          <w:spacing w:val="0"/>
          <w:w w:val="100"/>
          <w:position w:val="0"/>
          <w:sz w:val="26"/>
          <w:szCs w:val="26"/>
          <w:shd w:val="clear" w:color="auto" w:fill="auto"/>
          <w:lang w:val="en-US" w:eastAsia="en-US" w:bidi="en-US"/>
        </w:rPr>
        <w:t>3</w:t>
      </w:r>
      <w:r>
        <w:rPr>
          <w:color w:val="000000"/>
          <w:spacing w:val="0"/>
          <w:w w:val="100"/>
          <w:position w:val="0"/>
          <w:shd w:val="clear" w:color="auto" w:fill="auto"/>
          <w:lang w:val="he-IL" w:eastAsia="he-IL" w:bidi="he-IL"/>
          <w:rtl/>
        </w:rPr>
        <w:t xml:space="preserve">הני, </w:t>
      </w:r>
      <w:r>
        <w:rPr>
          <w:rFonts w:ascii="FrankRuehl" w:eastAsia="FrankRuehl" w:hAnsi="FrankRuehl" w:cs="FrankRuehl"/>
          <w:color w:val="000000"/>
          <w:spacing w:val="0"/>
          <w:w w:val="100"/>
          <w:position w:val="0"/>
          <w:sz w:val="26"/>
          <w:szCs w:val="26"/>
          <w:shd w:val="clear" w:color="auto" w:fill="auto"/>
          <w:lang w:val="en-US" w:eastAsia="en-US" w:bidi="en-US"/>
        </w:rPr>
        <w:t>3</w:t>
      </w:r>
      <w:r>
        <w:rPr>
          <w:rFonts w:ascii="FrankRuehl" w:eastAsia="FrankRuehl" w:hAnsi="FrankRuehl" w:cs="FrankRuehl"/>
          <w:color w:val="000000"/>
          <w:spacing w:val="0"/>
          <w:w w:val="100"/>
          <w:position w:val="0"/>
          <w:sz w:val="26"/>
          <w:szCs w:val="26"/>
          <w:shd w:val="clear" w:color="auto" w:fill="auto"/>
          <w:lang w:val="he-IL" w:eastAsia="he-IL" w:bidi="he-IL"/>
          <w:rtl/>
        </w:rPr>
        <w:t>.</w:t>
      </w:r>
      <w:r>
        <w:rPr>
          <w:color w:val="000000"/>
          <w:spacing w:val="0"/>
          <w:w w:val="100"/>
          <w:position w:val="0"/>
          <w:shd w:val="clear" w:color="auto" w:fill="auto"/>
          <w:lang w:val="he-IL" w:eastAsia="he-IL" w:bidi="he-IL"/>
          <w:rtl/>
        </w:rPr>
        <w:t xml:space="preserve">ח. י) הריוח, </w:t>
      </w:r>
      <w:r>
        <w:rPr>
          <w:rFonts w:ascii="FrankRuehl" w:eastAsia="FrankRuehl" w:hAnsi="FrankRuehl" w:cs="FrankRuehl"/>
          <w:color w:val="000000"/>
          <w:spacing w:val="0"/>
          <w:w w:val="100"/>
          <w:position w:val="0"/>
          <w:sz w:val="26"/>
          <w:szCs w:val="26"/>
          <w:shd w:val="clear" w:color="auto" w:fill="auto"/>
          <w:lang w:val="en-US" w:eastAsia="en-US" w:bidi="en-US"/>
        </w:rPr>
        <w:t>3</w:t>
      </w:r>
      <w:r>
        <w:rPr>
          <w:rFonts w:ascii="FrankRuehl" w:eastAsia="FrankRuehl" w:hAnsi="FrankRuehl" w:cs="FrankRuehl"/>
          <w:color w:val="000000"/>
          <w:spacing w:val="0"/>
          <w:w w:val="100"/>
          <w:position w:val="0"/>
          <w:sz w:val="26"/>
          <w:szCs w:val="26"/>
          <w:shd w:val="clear" w:color="auto" w:fill="auto"/>
          <w:lang w:val="he-IL" w:eastAsia="he-IL" w:bidi="he-IL"/>
          <w:rtl/>
        </w:rPr>
        <w:t>.</w:t>
      </w:r>
      <w:r>
        <w:rPr>
          <w:color w:val="000000"/>
          <w:spacing w:val="0"/>
          <w:w w:val="100"/>
          <w:position w:val="0"/>
          <w:shd w:val="clear" w:color="auto" w:fill="auto"/>
          <w:lang w:val="he-IL" w:eastAsia="he-IL" w:bidi="he-IL"/>
          <w:rtl/>
        </w:rPr>
        <w:t xml:space="preserve">ת. יא) יש כאן ריוח </w:t>
      </w:r>
      <w:r>
        <w:rPr>
          <w:rFonts w:ascii="FrankRuehl" w:eastAsia="FrankRuehl" w:hAnsi="FrankRuehl" w:cs="FrankRuehl"/>
          <w:color w:val="000000"/>
          <w:spacing w:val="0"/>
          <w:w w:val="100"/>
          <w:position w:val="0"/>
          <w:sz w:val="26"/>
          <w:szCs w:val="26"/>
          <w:shd w:val="clear" w:color="auto" w:fill="auto"/>
          <w:lang w:val="en-US" w:eastAsia="en-US" w:bidi="en-US"/>
        </w:rPr>
        <w:t>3</w:t>
      </w:r>
      <w:r>
        <w:rPr>
          <w:color w:val="000000"/>
          <w:spacing w:val="0"/>
          <w:w w:val="100"/>
          <w:position w:val="0"/>
          <w:shd w:val="clear" w:color="auto" w:fill="auto"/>
          <w:lang w:val="he-IL" w:eastAsia="he-IL" w:bidi="he-IL"/>
          <w:rtl/>
        </w:rPr>
        <w:t xml:space="preserve">שני הכ״י. יב) לה, </w:t>
      </w:r>
      <w:r>
        <w:rPr>
          <w:rFonts w:ascii="FrankRuehl" w:eastAsia="FrankRuehl" w:hAnsi="FrankRuehl" w:cs="FrankRuehl"/>
          <w:color w:val="000000"/>
          <w:spacing w:val="0"/>
          <w:w w:val="100"/>
          <w:position w:val="0"/>
          <w:sz w:val="26"/>
          <w:szCs w:val="26"/>
          <w:shd w:val="clear" w:color="auto" w:fill="auto"/>
          <w:lang w:val="en-US" w:eastAsia="en-US" w:bidi="en-US"/>
        </w:rPr>
        <w:t>3</w:t>
      </w:r>
      <w:r>
        <w:rPr>
          <w:rFonts w:ascii="FrankRuehl" w:eastAsia="FrankRuehl" w:hAnsi="FrankRuehl" w:cs="FrankRuehl"/>
          <w:color w:val="000000"/>
          <w:spacing w:val="0"/>
          <w:w w:val="100"/>
          <w:position w:val="0"/>
          <w:sz w:val="26"/>
          <w:szCs w:val="26"/>
          <w:shd w:val="clear" w:color="auto" w:fill="auto"/>
          <w:lang w:val="he-IL" w:eastAsia="he-IL" w:bidi="he-IL"/>
          <w:rtl/>
        </w:rPr>
        <w:t>.</w:t>
      </w:r>
      <w:r>
        <w:rPr>
          <w:color w:val="000000"/>
          <w:spacing w:val="0"/>
          <w:w w:val="100"/>
          <w:position w:val="0"/>
          <w:shd w:val="clear" w:color="auto" w:fill="auto"/>
          <w:lang w:val="he-IL" w:eastAsia="he-IL" w:bidi="he-IL"/>
          <w:rtl/>
        </w:rPr>
        <w:t xml:space="preserve">מ. יג) דבזמן, </w:t>
      </w:r>
      <w:r>
        <w:rPr>
          <w:rFonts w:ascii="FrankRuehl" w:eastAsia="FrankRuehl" w:hAnsi="FrankRuehl" w:cs="FrankRuehl"/>
          <w:color w:val="000000"/>
          <w:spacing w:val="0"/>
          <w:w w:val="100"/>
          <w:position w:val="0"/>
          <w:sz w:val="26"/>
          <w:szCs w:val="26"/>
          <w:shd w:val="clear" w:color="auto" w:fill="auto"/>
          <w:lang w:val="en-US" w:eastAsia="en-US" w:bidi="en-US"/>
        </w:rPr>
        <w:t>3</w:t>
      </w:r>
      <w:r>
        <w:rPr>
          <w:rFonts w:ascii="FrankRuehl" w:eastAsia="FrankRuehl" w:hAnsi="FrankRuehl" w:cs="FrankRuehl"/>
          <w:color w:val="000000"/>
          <w:spacing w:val="0"/>
          <w:w w:val="100"/>
          <w:position w:val="0"/>
          <w:sz w:val="26"/>
          <w:szCs w:val="26"/>
          <w:shd w:val="clear" w:color="auto" w:fill="auto"/>
          <w:lang w:val="he-IL" w:eastAsia="he-IL" w:bidi="he-IL"/>
          <w:rtl/>
        </w:rPr>
        <w:t>.</w:t>
      </w:r>
      <w:r>
        <w:rPr>
          <w:color w:val="000000"/>
          <w:spacing w:val="0"/>
          <w:w w:val="100"/>
          <w:position w:val="0"/>
          <w:shd w:val="clear" w:color="auto" w:fill="auto"/>
          <w:lang w:val="he-IL" w:eastAsia="he-IL" w:bidi="he-IL"/>
          <w:rtl/>
        </w:rPr>
        <w:t xml:space="preserve">מ. יד) אפי׳ תרי חומרות, כצ״ל. טו) דשקיל, </w:t>
      </w:r>
      <w:r>
        <w:rPr>
          <w:rFonts w:ascii="FrankRuehl" w:eastAsia="FrankRuehl" w:hAnsi="FrankRuehl" w:cs="FrankRuehl"/>
          <w:color w:val="000000"/>
          <w:spacing w:val="0"/>
          <w:w w:val="100"/>
          <w:position w:val="0"/>
          <w:sz w:val="26"/>
          <w:szCs w:val="26"/>
          <w:shd w:val="clear" w:color="auto" w:fill="auto"/>
          <w:lang w:val="en-US" w:eastAsia="en-US" w:bidi="en-US"/>
        </w:rPr>
        <w:t>3</w:t>
      </w:r>
      <w:r>
        <w:rPr>
          <w:rFonts w:ascii="FrankRuehl" w:eastAsia="FrankRuehl" w:hAnsi="FrankRuehl" w:cs="FrankRuehl"/>
          <w:color w:val="000000"/>
          <w:spacing w:val="0"/>
          <w:w w:val="100"/>
          <w:position w:val="0"/>
          <w:sz w:val="26"/>
          <w:szCs w:val="26"/>
          <w:shd w:val="clear" w:color="auto" w:fill="auto"/>
          <w:lang w:val="he-IL" w:eastAsia="he-IL" w:bidi="he-IL"/>
          <w:rtl/>
        </w:rPr>
        <w:t>.</w:t>
      </w:r>
      <w:r>
        <w:rPr>
          <w:color w:val="000000"/>
          <w:spacing w:val="0"/>
          <w:w w:val="100"/>
          <w:position w:val="0"/>
          <w:shd w:val="clear" w:color="auto" w:fill="auto"/>
          <w:lang w:val="he-IL" w:eastAsia="he-IL" w:bidi="he-IL"/>
          <w:rtl/>
        </w:rPr>
        <w:t xml:space="preserve">מ. טז) ממה נפשך, </w:t>
      </w:r>
      <w:r>
        <w:rPr>
          <w:rFonts w:ascii="FrankRuehl" w:eastAsia="FrankRuehl" w:hAnsi="FrankRuehl" w:cs="FrankRuehl"/>
          <w:color w:val="000000"/>
          <w:spacing w:val="0"/>
          <w:w w:val="100"/>
          <w:position w:val="0"/>
          <w:sz w:val="26"/>
          <w:szCs w:val="26"/>
          <w:shd w:val="clear" w:color="auto" w:fill="auto"/>
          <w:lang w:val="en-US" w:eastAsia="en-US" w:bidi="en-US"/>
        </w:rPr>
        <w:t>3</w:t>
      </w:r>
      <w:r>
        <w:rPr>
          <w:rFonts w:ascii="FrankRuehl" w:eastAsia="FrankRuehl" w:hAnsi="FrankRuehl" w:cs="FrankRuehl"/>
          <w:color w:val="000000"/>
          <w:spacing w:val="0"/>
          <w:w w:val="100"/>
          <w:position w:val="0"/>
          <w:sz w:val="26"/>
          <w:szCs w:val="26"/>
          <w:shd w:val="clear" w:color="auto" w:fill="auto"/>
          <w:lang w:val="he-IL" w:eastAsia="he-IL" w:bidi="he-IL"/>
          <w:rtl/>
        </w:rPr>
        <w:t>.</w:t>
      </w:r>
      <w:r>
        <w:rPr>
          <w:color w:val="000000"/>
          <w:spacing w:val="0"/>
          <w:w w:val="100"/>
          <w:position w:val="0"/>
          <w:shd w:val="clear" w:color="auto" w:fill="auto"/>
          <w:lang w:val="he-IL" w:eastAsia="he-IL" w:bidi="he-IL"/>
          <w:rtl/>
        </w:rPr>
        <w:t>מ. יז) אולי צ״ל יי</w:t>
      </w:r>
      <w:r>
        <w:rPr>
          <w:rFonts w:ascii="FrankRuehl" w:eastAsia="FrankRuehl" w:hAnsi="FrankRuehl" w:cs="FrankRuehl"/>
          <w:color w:val="000000"/>
          <w:spacing w:val="0"/>
          <w:w w:val="100"/>
          <w:position w:val="0"/>
          <w:sz w:val="26"/>
          <w:szCs w:val="26"/>
          <w:shd w:val="clear" w:color="auto" w:fill="auto"/>
          <w:lang w:val="en-US" w:eastAsia="en-US" w:bidi="en-US"/>
        </w:rPr>
        <w:t>3</w:t>
      </w:r>
      <w:r>
        <w:rPr>
          <w:color w:val="000000"/>
          <w:spacing w:val="0"/>
          <w:w w:val="100"/>
          <w:position w:val="0"/>
          <w:shd w:val="clear" w:color="auto" w:fill="auto"/>
          <w:lang w:val="he-IL" w:eastAsia="he-IL" w:bidi="he-IL"/>
          <w:rtl/>
        </w:rPr>
        <w:t>ם.</w:t>
      </w:r>
    </w:p>
    <w:p>
      <w:pPr>
        <w:widowControl w:val="0"/>
        <w:spacing w:before="21" w:after="21" w:line="240" w:lineRule="exact"/>
        <w:rPr>
          <w:sz w:val="19"/>
          <w:szCs w:val="19"/>
        </w:rPr>
      </w:pPr>
    </w:p>
    <w:p>
      <w:pPr>
        <w:widowControl w:val="0"/>
        <w:spacing w:line="1" w:lineRule="exact"/>
        <w:sectPr>
          <w:footnotePr>
            <w:pos w:val="pageBottom"/>
            <w:numFmt w:val="decimal"/>
            <w:numStart w:val="11"/>
            <w:numRestart w:val="continuous"/>
            <w15:footnoteColumns w:val="1"/>
          </w:footnotePr>
          <w:type w:val="continuous"/>
          <w:pgSz w:w="11900" w:h="16840"/>
          <w:pgMar w:top="457" w:right="0" w:bottom="228" w:left="0" w:header="0" w:footer="3" w:gutter="0"/>
          <w:cols w:space="720"/>
          <w:noEndnote/>
          <w:rtlGutter w:val="0"/>
          <w:docGrid w:linePitch="360"/>
        </w:sectPr>
      </w:pPr>
    </w:p>
    <w:p>
      <w:pPr>
        <w:pStyle w:val="Style15"/>
        <w:keepNext w:val="0"/>
        <w:keepLines w:val="0"/>
        <w:widowControl w:val="0"/>
        <w:shd w:val="clear" w:color="auto" w:fill="auto"/>
        <w:spacing w:before="0" w:after="0" w:line="293" w:lineRule="auto"/>
        <w:ind w:left="0" w:right="0" w:firstLine="0"/>
        <w:jc w:val="both"/>
      </w:pPr>
      <w:r>
        <w:rPr>
          <w:color w:val="000000"/>
          <w:spacing w:val="0"/>
          <w:w w:val="100"/>
          <w:position w:val="0"/>
          <w:shd w:val="clear" w:color="auto" w:fill="auto"/>
          <w:lang w:val="he-IL" w:eastAsia="he-IL" w:bidi="he-IL"/>
          <w:rtl/>
        </w:rPr>
        <w:t>שנה הראשונה, ועדיין היתד. הנדוניא מונחת ביד שליש לראות אם יתנהג עמה כשורה והיה היבם קטן, ופסק אע״ג דאינה נזונית משל יבם אפילו מן הגדוניא שהכניסה לו, היינו דוקא שזכה בהן הבעל אבל כל זמן שמונח ביד שליש ולא זכה בהן הבעל, נזונית מהן כ״ש שהיבמה רוצה לקבל עליה לקיים סכום הקרן עד שיגדל היבם ולעשרת ממנו מה שיצוו לה חכמים שנותנין המעות לידה, כ׳׳כ הר״פ בר אליה עכ״ל וכך מובא ברמ״א שם ס״ג בשם י״א. ולכאורה זה לא כמהרי״ל.</w:t>
      </w:r>
    </w:p>
    <w:p>
      <w:pPr>
        <w:pStyle w:val="Style15"/>
        <w:keepNext w:val="0"/>
        <w:keepLines w:val="0"/>
        <w:widowControl w:val="0"/>
        <w:numPr>
          <w:ilvl w:val="0"/>
          <w:numId w:val="3"/>
        </w:numPr>
        <w:shd w:val="clear" w:color="auto" w:fill="auto"/>
        <w:tabs>
          <w:tab w:pos="342" w:val="left"/>
        </w:tabs>
        <w:spacing w:before="0" w:after="0" w:line="288" w:lineRule="auto"/>
        <w:ind w:left="0" w:right="0" w:firstLine="0"/>
        <w:jc w:val="both"/>
      </w:pPr>
      <w:r>
        <w:rPr>
          <w:color w:val="000000"/>
          <w:spacing w:val="0"/>
          <w:w w:val="100"/>
          <w:position w:val="0"/>
          <w:shd w:val="clear" w:color="auto" w:fill="auto"/>
          <w:lang w:val="he-IL" w:eastAsia="he-IL" w:bidi="he-IL"/>
          <w:rtl/>
        </w:rPr>
        <w:t>בשו״ע אה״ע סי׳ צ״ו ס״א מבואר דווקא אם הנצ״ב או הבאים מכחם קיימים ואם לאו צריכה לישבע.</w:t>
      </w:r>
    </w:p>
    <w:p>
      <w:pPr>
        <w:pStyle w:val="Style15"/>
        <w:keepNext w:val="0"/>
        <w:keepLines w:val="0"/>
        <w:widowControl w:val="0"/>
        <w:numPr>
          <w:ilvl w:val="0"/>
          <w:numId w:val="3"/>
        </w:numPr>
        <w:shd w:val="clear" w:color="auto" w:fill="auto"/>
        <w:tabs>
          <w:tab w:pos="342" w:val="left"/>
        </w:tabs>
        <w:spacing w:before="0" w:after="0" w:line="276" w:lineRule="auto"/>
        <w:ind w:left="0" w:right="0" w:firstLine="0"/>
        <w:jc w:val="both"/>
      </w:pPr>
      <w:r>
        <w:rPr>
          <w:color w:val="000000"/>
          <w:spacing w:val="0"/>
          <w:w w:val="100"/>
          <w:position w:val="0"/>
          <w:shd w:val="clear" w:color="auto" w:fill="auto"/>
          <w:lang w:val="he-IL" w:eastAsia="he-IL" w:bidi="he-IL"/>
          <w:rtl/>
        </w:rPr>
        <w:t>ח״ד סי׳ תתקי״ט דף שי״ח.</w:t>
      </w:r>
    </w:p>
    <w:p>
      <w:pPr>
        <w:pStyle w:val="Style15"/>
        <w:keepNext w:val="0"/>
        <w:keepLines w:val="0"/>
        <w:widowControl w:val="0"/>
        <w:numPr>
          <w:ilvl w:val="0"/>
          <w:numId w:val="3"/>
        </w:numPr>
        <w:shd w:val="clear" w:color="auto" w:fill="auto"/>
        <w:tabs>
          <w:tab w:pos="342" w:val="left"/>
        </w:tabs>
        <w:spacing w:before="0" w:after="0" w:line="288" w:lineRule="auto"/>
        <w:ind w:left="0" w:right="0" w:firstLine="0"/>
        <w:jc w:val="both"/>
      </w:pPr>
      <w:r>
        <w:rPr>
          <w:color w:val="000000"/>
          <w:spacing w:val="0"/>
          <w:w w:val="100"/>
          <w:position w:val="0"/>
          <w:shd w:val="clear" w:color="auto" w:fill="auto"/>
          <w:lang w:val="he-IL" w:eastAsia="he-IL" w:bidi="he-IL"/>
          <w:rtl/>
        </w:rPr>
        <w:t>כן נמצא בתשובתו בתשובת מיימוני אישות סוף סי׳ ר, וכן כתב מהר״ם במב״ב ד״פ סי׳ תמ״ב.</w:t>
      </w:r>
    </w:p>
    <w:p>
      <w:pPr>
        <w:pStyle w:val="Style15"/>
        <w:keepNext w:val="0"/>
        <w:keepLines w:val="0"/>
        <w:widowControl w:val="0"/>
        <w:numPr>
          <w:ilvl w:val="0"/>
          <w:numId w:val="3"/>
        </w:numPr>
        <w:shd w:val="clear" w:color="auto" w:fill="auto"/>
        <w:tabs>
          <w:tab w:pos="342" w:val="left"/>
        </w:tabs>
        <w:spacing w:before="0" w:after="0" w:line="276" w:lineRule="auto"/>
        <w:ind w:left="0" w:right="0" w:firstLine="0"/>
        <w:jc w:val="both"/>
        <w:sectPr>
          <w:footnotePr>
            <w:pos w:val="pageBottom"/>
            <w:numFmt w:val="decimal"/>
            <w:numStart w:val="11"/>
            <w:numRestart w:val="continuous"/>
            <w15:footnoteColumns w:val="1"/>
          </w:footnotePr>
          <w:type w:val="continuous"/>
          <w:pgSz w:w="11900" w:h="16840"/>
          <w:pgMar w:top="457" w:right="934" w:bottom="228" w:left="1073" w:header="0" w:footer="3" w:gutter="0"/>
          <w:cols w:num="2" w:space="302"/>
          <w:noEndnote/>
          <w:bidi/>
          <w:rtlGutter w:val="0"/>
          <w:docGrid w:linePitch="360"/>
        </w:sectPr>
      </w:pPr>
      <w:r>
        <w:rPr>
          <w:color w:val="000000"/>
          <w:spacing w:val="0"/>
          <w:w w:val="100"/>
          <w:position w:val="0"/>
          <w:shd w:val="clear" w:color="auto" w:fill="auto"/>
          <w:lang w:val="he-IL" w:eastAsia="he-IL" w:bidi="he-IL"/>
          <w:rtl/>
        </w:rPr>
        <w:t>שו״ע אה״ע סי׳ ק׳ ס״א משום תקנת הגאונים.</w:t>
      </w:r>
    </w:p>
    <w:p>
      <w:pPr>
        <w:rPr>
          <w:sz w:val="2"/>
          <w:szCs w:val="2"/>
        </w:rPr>
        <w:sectPr>
          <w:footnotePr>
            <w:pos w:val="pageBottom"/>
            <w:numFmt w:val="decimal"/>
            <w:numStart w:val="11"/>
            <w:numRestart w:val="continuous"/>
            <w15:footnoteColumns w:val="1"/>
          </w:footnotePr>
          <w:type w:val="continuous"/>
          <w:pgSz w:w="11900" w:h="16840"/>
          <w:pgMar w:top="457" w:right="934" w:bottom="228" w:left="1073" w:header="0" w:footer="3" w:gutter="0"/>
          <w:cols w:num="2" w:space="302"/>
          <w:noEndnote/>
          <w:rtlGutter w:val="0"/>
          <w:docGrid w:linePitch="360"/>
        </w:sectPr>
      </w:pPr>
    </w:p>
    <w:p>
      <w:pPr>
        <w:pStyle w:val="Style15"/>
        <w:keepNext w:val="0"/>
        <w:keepLines w:val="0"/>
        <w:widowControl w:val="0"/>
        <w:shd w:val="clear" w:color="auto" w:fill="auto"/>
        <w:tabs>
          <w:tab w:pos="6538" w:val="left"/>
        </w:tabs>
        <w:spacing w:before="0" w:after="340" w:line="240" w:lineRule="auto"/>
        <w:ind w:left="0" w:right="0" w:firstLine="0"/>
        <w:jc w:val="left"/>
      </w:pPr>
      <w:r>
        <w:rPr>
          <w:color w:val="000000"/>
          <w:spacing w:val="0"/>
          <w:w w:val="100"/>
          <w:position w:val="0"/>
          <w:shd w:val="clear" w:color="auto" w:fill="auto"/>
          <w:lang w:val="he-IL" w:eastAsia="he-IL" w:bidi="he-IL"/>
          <w:rtl/>
        </w:rPr>
        <w:t>שנ</w:t>
        <w:tab/>
        <w:t xml:space="preserve">ש ו ״ ת מ ה ר י </w:t>
      </w:r>
      <w:r>
        <w:rPr>
          <w:rFonts w:ascii="FrankRuehl" w:eastAsia="FrankRuehl" w:hAnsi="FrankRuehl" w:cs="FrankRuehl"/>
          <w:color w:val="000000"/>
          <w:spacing w:val="0"/>
          <w:w w:val="100"/>
          <w:position w:val="0"/>
          <w:sz w:val="26"/>
          <w:szCs w:val="26"/>
          <w:shd w:val="clear" w:color="auto" w:fill="auto"/>
          <w:lang w:val="he-IL" w:eastAsia="he-IL" w:bidi="he-IL"/>
          <w:rtl/>
        </w:rPr>
        <w:t xml:space="preserve">״ </w:t>
      </w:r>
      <w:r>
        <w:rPr>
          <w:rFonts w:ascii="FrankRuehl" w:eastAsia="FrankRuehl" w:hAnsi="FrankRuehl" w:cs="FrankRuehl"/>
          <w:color w:val="000000"/>
          <w:spacing w:val="0"/>
          <w:w w:val="100"/>
          <w:position w:val="0"/>
          <w:sz w:val="26"/>
          <w:szCs w:val="26"/>
          <w:shd w:val="clear" w:color="auto" w:fill="auto"/>
          <w:lang w:val="en-US" w:eastAsia="en-US" w:bidi="en-US"/>
        </w:rPr>
        <w:t>7</w:t>
      </w:r>
      <w:r>
        <w:rPr>
          <w:rFonts w:ascii="FrankRuehl" w:eastAsia="FrankRuehl" w:hAnsi="FrankRuehl" w:cs="FrankRuehl"/>
          <w:color w:val="000000"/>
          <w:spacing w:val="0"/>
          <w:w w:val="100"/>
          <w:position w:val="0"/>
          <w:sz w:val="26"/>
          <w:szCs w:val="26"/>
          <w:shd w:val="clear" w:color="auto" w:fill="auto"/>
          <w:lang w:val="he-IL" w:eastAsia="he-IL" w:bidi="he-IL"/>
          <w:rtl/>
        </w:rPr>
        <w:t xml:space="preserve"> </w:t>
      </w:r>
      <w:r>
        <w:rPr>
          <w:color w:val="000000"/>
          <w:spacing w:val="0"/>
          <w:w w:val="100"/>
          <w:position w:val="0"/>
          <w:shd w:val="clear" w:color="auto" w:fill="auto"/>
          <w:lang w:val="he-IL" w:eastAsia="he-IL" w:bidi="he-IL"/>
          <w:rtl/>
        </w:rPr>
        <w:t xml:space="preserve">ה </w:t>
      </w:r>
      <w:r>
        <w:rPr>
          <w:rFonts w:ascii="FrankRuehl" w:eastAsia="FrankRuehl" w:hAnsi="FrankRuehl" w:cs="FrankRuehl"/>
          <w:color w:val="000000"/>
          <w:spacing w:val="0"/>
          <w:w w:val="100"/>
          <w:position w:val="0"/>
          <w:sz w:val="26"/>
          <w:szCs w:val="26"/>
          <w:shd w:val="clear" w:color="auto" w:fill="auto"/>
          <w:lang w:val="en-US" w:eastAsia="en-US" w:bidi="en-US"/>
        </w:rPr>
        <w:t>1 n</w:t>
      </w:r>
      <w:r>
        <w:rPr>
          <w:rFonts w:ascii="FrankRuehl" w:eastAsia="FrankRuehl" w:hAnsi="FrankRuehl" w:cs="FrankRuehl"/>
          <w:color w:val="000000"/>
          <w:spacing w:val="0"/>
          <w:w w:val="100"/>
          <w:position w:val="0"/>
          <w:sz w:val="26"/>
          <w:szCs w:val="26"/>
          <w:shd w:val="clear" w:color="auto" w:fill="auto"/>
          <w:lang w:val="he-IL" w:eastAsia="he-IL" w:bidi="he-IL"/>
          <w:rtl/>
        </w:rPr>
        <w:t xml:space="preserve"> </w:t>
      </w:r>
      <w:r>
        <w:rPr>
          <w:color w:val="000000"/>
          <w:spacing w:val="0"/>
          <w:w w:val="100"/>
          <w:position w:val="0"/>
          <w:shd w:val="clear" w:color="auto" w:fill="auto"/>
          <w:lang w:val="he-IL" w:eastAsia="he-IL" w:bidi="he-IL"/>
          <w:rtl/>
        </w:rPr>
        <w:t>ש ו וו</w:t>
      </w:r>
    </w:p>
    <w:p>
      <w:pPr>
        <w:pStyle w:val="Style5"/>
        <w:keepNext w:val="0"/>
        <w:keepLines w:val="0"/>
        <w:widowControl w:val="0"/>
        <w:shd w:val="clear" w:color="auto" w:fill="auto"/>
        <w:spacing w:before="0" w:after="0" w:line="334" w:lineRule="auto"/>
        <w:ind w:left="0" w:right="0" w:firstLine="0"/>
        <w:jc w:val="both"/>
      </w:pPr>
      <w:r>
        <w:rPr>
          <w:color w:val="000000"/>
          <w:spacing w:val="0"/>
          <w:w w:val="100"/>
          <w:position w:val="0"/>
          <w:shd w:val="clear" w:color="auto" w:fill="auto"/>
          <w:lang w:val="he-IL" w:eastAsia="he-IL" w:bidi="he-IL"/>
          <w:rtl/>
        </w:rPr>
        <w:t>ועוד דד׳אידנא כתבינן בכתובה מטלטליו בהדיא רמשועבדין לה מדאורייתא כדברי ר״ת</w:t>
      </w:r>
      <w:r>
        <w:rPr>
          <w:color w:val="000000"/>
          <w:spacing w:val="0"/>
          <w:w w:val="100"/>
          <w:position w:val="0"/>
          <w:shd w:val="clear" w:color="auto" w:fill="auto"/>
          <w:vertAlign w:val="superscript"/>
          <w:lang w:val="en-US" w:eastAsia="en-US" w:bidi="en-US"/>
        </w:rPr>
        <w:t>16</w:t>
      </w:r>
      <w:r>
        <w:rPr>
          <w:color w:val="000000"/>
          <w:spacing w:val="0"/>
          <w:w w:val="100"/>
          <w:position w:val="0"/>
          <w:shd w:val="clear" w:color="auto" w:fill="auto"/>
          <w:lang w:val="he-IL" w:eastAsia="he-IL" w:bidi="he-IL"/>
          <w:rtl/>
        </w:rPr>
        <w:t xml:space="preserve">, וכן כת׳ במרדכי </w:t>
      </w:r>
      <w:r>
        <w:rPr>
          <w:color w:val="000000"/>
          <w:spacing w:val="0"/>
          <w:w w:val="100"/>
          <w:position w:val="0"/>
          <w:shd w:val="clear" w:color="auto" w:fill="auto"/>
          <w:vertAlign w:val="superscript"/>
          <w:lang w:val="en-US" w:eastAsia="en-US" w:bidi="en-US"/>
        </w:rPr>
        <w:t>17</w:t>
      </w:r>
      <w:r>
        <w:rPr>
          <w:color w:val="000000"/>
          <w:spacing w:val="0"/>
          <w:w w:val="100"/>
          <w:position w:val="0"/>
          <w:shd w:val="clear" w:color="auto" w:fill="auto"/>
          <w:lang w:val="he-IL" w:eastAsia="he-IL" w:bidi="he-IL"/>
          <w:rtl/>
        </w:rPr>
        <w:t xml:space="preserve"> הילכך לא דמי לכל הגי דלעיל.</w:t>
      </w:r>
    </w:p>
    <w:p>
      <w:pPr>
        <w:pStyle w:val="Style5"/>
        <w:keepNext w:val="0"/>
        <w:keepLines w:val="0"/>
        <w:widowControl w:val="0"/>
        <w:shd w:val="clear" w:color="auto" w:fill="auto"/>
        <w:spacing w:before="0" w:after="340" w:line="334" w:lineRule="auto"/>
        <w:ind w:left="0" w:right="0" w:firstLine="0"/>
        <w:jc w:val="right"/>
      </w:pPr>
      <w:r>
        <w:rPr>
          <w:color w:val="000000"/>
          <w:spacing w:val="0"/>
          <w:w w:val="100"/>
          <w:position w:val="0"/>
          <w:shd w:val="clear" w:color="auto" w:fill="auto"/>
          <w:lang w:val="he-IL" w:eastAsia="he-IL" w:bidi="he-IL"/>
          <w:rtl/>
        </w:rPr>
        <w:t>ושלום, הקטן הלוי.</w:t>
      </w:r>
    </w:p>
    <w:p>
      <w:pPr>
        <w:pStyle w:val="Style7"/>
        <w:keepNext/>
        <w:keepLines/>
        <w:widowControl w:val="0"/>
        <w:shd w:val="clear" w:color="auto" w:fill="auto"/>
        <w:spacing w:before="0" w:line="240" w:lineRule="auto"/>
        <w:ind w:left="0" w:right="0" w:firstLine="0"/>
        <w:jc w:val="center"/>
      </w:pPr>
      <w:bookmarkStart w:id="2" w:name="bookmark2"/>
      <w:r>
        <w:rPr>
          <w:color w:val="000000"/>
          <w:spacing w:val="0"/>
          <w:w w:val="100"/>
          <w:position w:val="0"/>
          <w:shd w:val="clear" w:color="auto" w:fill="auto"/>
          <w:lang w:val="he-IL" w:eastAsia="he-IL" w:bidi="he-IL"/>
          <w:rtl/>
        </w:rPr>
        <w:t>סימן רט</w:t>
      </w:r>
      <w:bookmarkEnd w:id="2"/>
    </w:p>
    <w:p>
      <w:pPr>
        <w:pStyle w:val="Style5"/>
        <w:keepNext w:val="0"/>
        <w:keepLines w:val="0"/>
        <w:widowControl w:val="0"/>
        <w:shd w:val="clear" w:color="auto" w:fill="auto"/>
        <w:spacing w:before="0" w:after="0" w:line="334" w:lineRule="auto"/>
        <w:ind w:left="0" w:right="0" w:firstLine="280"/>
        <w:jc w:val="left"/>
        <w:sectPr>
          <w:footnotePr>
            <w:pos w:val="pageBottom"/>
            <w:numFmt w:val="decimal"/>
            <w:numStart w:val="11"/>
            <w:numRestart w:val="continuous"/>
            <w15:footnoteColumns w:val="1"/>
          </w:footnotePr>
          <w:pgSz w:w="11900" w:h="16840"/>
          <w:pgMar w:top="500" w:right="930" w:bottom="214" w:left="1059" w:header="72" w:footer="3" w:gutter="0"/>
          <w:cols w:space="720"/>
          <w:noEndnote/>
          <w:bidi/>
          <w:rtlGutter w:val="0"/>
          <w:docGrid w:linePitch="360"/>
        </w:sectPr>
      </w:pPr>
      <w:r>
        <w:rPr>
          <w:color w:val="000000"/>
          <w:spacing w:val="0"/>
          <w:w w:val="100"/>
          <w:position w:val="0"/>
          <w:shd w:val="clear" w:color="auto" w:fill="auto"/>
          <w:lang w:val="he-IL" w:eastAsia="he-IL" w:bidi="he-IL"/>
          <w:rtl/>
        </w:rPr>
        <w:t>שמעתי מהגאון מהרי״ו</w:t>
      </w:r>
      <w:r>
        <w:rPr>
          <w:color w:val="000000"/>
          <w:spacing w:val="0"/>
          <w:w w:val="100"/>
          <w:position w:val="0"/>
          <w:shd w:val="clear" w:color="auto" w:fill="auto"/>
          <w:vertAlign w:val="superscript"/>
          <w:lang w:val="en-US" w:eastAsia="en-US" w:bidi="en-US"/>
        </w:rPr>
        <w:t>1</w:t>
      </w:r>
      <w:r>
        <w:rPr>
          <w:color w:val="000000"/>
          <w:spacing w:val="0"/>
          <w:w w:val="100"/>
          <w:position w:val="0"/>
          <w:shd w:val="clear" w:color="auto" w:fill="auto"/>
          <w:lang w:val="he-IL" w:eastAsia="he-IL" w:bidi="he-IL"/>
          <w:rtl/>
        </w:rPr>
        <w:t xml:space="preserve"> ז״ל שמהר״ש לנדא</w:t>
      </w:r>
      <w:r>
        <w:rPr>
          <w:color w:val="000000"/>
          <w:spacing w:val="0"/>
          <w:w w:val="100"/>
          <w:position w:val="0"/>
          <w:shd w:val="clear" w:color="auto" w:fill="auto"/>
          <w:vertAlign w:val="superscript"/>
          <w:lang w:val="en-US" w:eastAsia="en-US" w:bidi="en-US"/>
        </w:rPr>
        <w:t>2</w:t>
      </w:r>
      <w:r>
        <w:rPr>
          <w:color w:val="000000"/>
          <w:spacing w:val="0"/>
          <w:w w:val="100"/>
          <w:position w:val="0"/>
          <w:shd w:val="clear" w:color="auto" w:fill="auto"/>
          <w:lang w:val="he-IL" w:eastAsia="he-IL" w:bidi="he-IL"/>
          <w:rtl/>
        </w:rPr>
        <w:t xml:space="preserve"> הניח יבמה קטנה למאן ביבם, והיה הגאון</w:t>
      </w:r>
    </w:p>
    <w:p>
      <w:pPr>
        <w:pStyle w:val="Style5"/>
        <w:keepNext w:val="0"/>
        <w:keepLines w:val="0"/>
        <w:widowControl w:val="0"/>
        <w:shd w:val="clear" w:color="auto" w:fill="auto"/>
        <w:spacing w:before="0" w:after="0"/>
        <w:ind w:left="0" w:right="0" w:firstLine="0"/>
        <w:jc w:val="both"/>
      </w:pPr>
      <w:r>
        <w:rPr>
          <w:color w:val="000000"/>
          <w:spacing w:val="0"/>
          <w:w w:val="100"/>
          <w:position w:val="0"/>
          <w:shd w:val="clear" w:color="auto" w:fill="auto"/>
          <w:lang w:val="he-IL" w:eastAsia="he-IL" w:bidi="he-IL"/>
          <w:rtl/>
        </w:rPr>
        <w:t xml:space="preserve">מהרי״ל ז״ל מקפח עליו ביותר </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he-IL" w:eastAsia="he-IL" w:bidi="he-IL"/>
          <w:rtl/>
        </w:rPr>
        <w:t xml:space="preserve">וגם לא רצה מפריש ז״ל והשיב לו להתירה בחליצה. ואז מכתב יד מה״ר אליעזר מפסוא </w:t>
      </w:r>
      <w:r>
        <w:rPr>
          <w:color w:val="000000"/>
          <w:spacing w:val="0"/>
          <w:w w:val="100"/>
          <w:position w:val="0"/>
          <w:shd w:val="clear" w:color="auto" w:fill="auto"/>
          <w:vertAlign w:val="superscript"/>
          <w:lang w:val="en-US" w:eastAsia="en-US" w:bidi="en-US"/>
        </w:rPr>
        <w:t>5</w:t>
      </w:r>
      <w:r>
        <w:rPr>
          <w:color w:val="000000"/>
          <w:spacing w:val="0"/>
          <w:w w:val="100"/>
          <w:position w:val="0"/>
          <w:shd w:val="clear" w:color="auto" w:fill="auto"/>
          <w:lang w:val="he-IL" w:eastAsia="he-IL" w:bidi="he-IL"/>
          <w:rtl/>
        </w:rPr>
        <w:t>ז״ל העתקה.</w:t>
      </w:r>
    </w:p>
    <w:p>
      <w:pPr>
        <w:pStyle w:val="Style5"/>
        <w:keepNext w:val="0"/>
        <w:keepLines w:val="0"/>
        <w:widowControl w:val="0"/>
        <w:shd w:val="clear" w:color="auto" w:fill="auto"/>
        <w:spacing w:before="0" w:after="0" w:line="338" w:lineRule="auto"/>
        <w:ind w:left="0" w:right="0" w:firstLine="0"/>
        <w:jc w:val="center"/>
        <w:sectPr>
          <w:footnotePr>
            <w:pos w:val="pageBottom"/>
            <w:numFmt w:val="decimal"/>
            <w:numStart w:val="11"/>
            <w:numRestart w:val="continuous"/>
            <w15:footnoteColumns w:val="1"/>
          </w:footnotePr>
          <w:type w:val="continuous"/>
          <w:pgSz w:w="11900" w:h="16840"/>
          <w:pgMar w:top="500" w:right="1087" w:bottom="214" w:left="1073" w:header="0" w:footer="3" w:gutter="0"/>
          <w:cols w:num="2" w:space="100"/>
          <w:noEndnote/>
          <w:bidi/>
          <w:rtlGutter w:val="0"/>
          <w:docGrid w:linePitch="360"/>
        </w:sectPr>
      </w:pPr>
      <w:r>
        <w:rPr>
          <w:color w:val="000000"/>
          <w:spacing w:val="0"/>
          <w:w w:val="100"/>
          <w:position w:val="0"/>
          <w:shd w:val="clear" w:color="auto" w:fill="auto"/>
          <w:lang w:val="he-IL" w:eastAsia="he-IL" w:bidi="he-IL"/>
          <w:rtl/>
        </w:rPr>
        <w:t>להתירה בחליצה</w:t>
      </w:r>
      <w:r>
        <w:rPr>
          <w:color w:val="000000"/>
          <w:spacing w:val="0"/>
          <w:w w:val="100"/>
          <w:position w:val="0"/>
          <w:shd w:val="clear" w:color="auto" w:fill="auto"/>
          <w:vertAlign w:val="superscript"/>
          <w:lang w:val="en-US" w:eastAsia="en-US" w:bidi="en-US"/>
        </w:rPr>
        <w:t>4</w:t>
      </w:r>
      <w:r>
        <w:rPr>
          <w:color w:val="000000"/>
          <w:spacing w:val="0"/>
          <w:w w:val="100"/>
          <w:position w:val="0"/>
          <w:shd w:val="clear" w:color="auto" w:fill="auto"/>
          <w:lang w:val="he-IL" w:eastAsia="he-IL" w:bidi="he-IL"/>
          <w:rtl/>
        </w:rPr>
        <w:t>, וכתב הדבר למה״ר יוחנן</w:t>
        <w:br/>
        <w:t>התיר מהרי״ל ז״ל בחליצה כשהגדילה. ע״כ</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14" w:after="114" w:line="240" w:lineRule="exact"/>
        <w:rPr>
          <w:sz w:val="19"/>
          <w:szCs w:val="19"/>
        </w:rPr>
      </w:pPr>
    </w:p>
    <w:p>
      <w:pPr>
        <w:widowControl w:val="0"/>
        <w:spacing w:line="1" w:lineRule="exact"/>
        <w:sectPr>
          <w:footnotePr>
            <w:pos w:val="pageBottom"/>
            <w:numFmt w:val="decimal"/>
            <w:numStart w:val="11"/>
            <w:numRestart w:val="continuous"/>
            <w15:footnoteColumns w:val="1"/>
          </w:footnotePr>
          <w:type w:val="continuous"/>
          <w:pgSz w:w="11900" w:h="16840"/>
          <w:pgMar w:top="500" w:right="0" w:bottom="214" w:left="0" w:header="0" w:footer="3" w:gutter="0"/>
          <w:cols w:space="720"/>
          <w:noEndnote/>
          <w:rtlGutter w:val="0"/>
          <w:docGrid w:linePitch="360"/>
        </w:sectPr>
      </w:pPr>
    </w:p>
    <w:p>
      <w:pPr>
        <w:pStyle w:val="Style15"/>
        <w:keepNext w:val="0"/>
        <w:keepLines w:val="0"/>
        <w:widowControl w:val="0"/>
        <w:shd w:val="clear" w:color="auto" w:fill="auto"/>
        <w:spacing w:before="0" w:after="0" w:line="276" w:lineRule="auto"/>
        <w:ind w:left="0" w:right="0" w:firstLine="0"/>
        <w:jc w:val="both"/>
      </w:pPr>
      <w:r>
        <w:rPr>
          <w:rFonts w:ascii="FrankRuehl" w:eastAsia="FrankRuehl" w:hAnsi="FrankRuehl" w:cs="FrankRuehl"/>
          <w:color w:val="000000"/>
          <w:spacing w:val="0"/>
          <w:w w:val="100"/>
          <w:position w:val="0"/>
          <w:sz w:val="26"/>
          <w:szCs w:val="26"/>
          <w:shd w:val="clear" w:color="auto" w:fill="auto"/>
          <w:lang w:val="en-US" w:eastAsia="en-US" w:bidi="en-US"/>
        </w:rPr>
        <w:t>16</w:t>
      </w:r>
      <w:r>
        <w:rPr>
          <w:rFonts w:ascii="FrankRuehl" w:eastAsia="FrankRuehl" w:hAnsi="FrankRuehl" w:cs="FrankRuehl"/>
          <w:color w:val="000000"/>
          <w:spacing w:val="0"/>
          <w:w w:val="100"/>
          <w:position w:val="0"/>
          <w:sz w:val="26"/>
          <w:szCs w:val="26"/>
          <w:shd w:val="clear" w:color="auto" w:fill="auto"/>
          <w:lang w:val="he-IL" w:eastAsia="he-IL" w:bidi="he-IL"/>
          <w:rtl/>
        </w:rPr>
        <w:t xml:space="preserve"> </w:t>
      </w:r>
      <w:r>
        <w:rPr>
          <w:color w:val="000000"/>
          <w:spacing w:val="0"/>
          <w:w w:val="100"/>
          <w:position w:val="0"/>
          <w:shd w:val="clear" w:color="auto" w:fill="auto"/>
          <w:lang w:val="he-IL" w:eastAsia="he-IL" w:bidi="he-IL"/>
          <w:rtl/>
        </w:rPr>
        <w:t>ר״ת מוזכר ברא״ש כתובות פ״ו סי׳ ה׳, הגהות מיימוני פט״ז דאישות אות ד.</w:t>
      </w:r>
    </w:p>
    <w:p>
      <w:pPr>
        <w:pStyle w:val="Style15"/>
        <w:keepNext w:val="0"/>
        <w:keepLines w:val="0"/>
        <w:widowControl w:val="0"/>
        <w:shd w:val="clear" w:color="auto" w:fill="auto"/>
        <w:spacing w:before="0" w:after="0" w:line="276" w:lineRule="auto"/>
        <w:ind w:left="0" w:right="0" w:firstLine="0"/>
        <w:jc w:val="both"/>
      </w:pPr>
      <w:r>
        <w:rPr>
          <w:rFonts w:ascii="FrankRuehl" w:eastAsia="FrankRuehl" w:hAnsi="FrankRuehl" w:cs="FrankRuehl"/>
          <w:color w:val="000000"/>
          <w:spacing w:val="0"/>
          <w:w w:val="100"/>
          <w:position w:val="0"/>
          <w:sz w:val="26"/>
          <w:szCs w:val="26"/>
          <w:shd w:val="clear" w:color="auto" w:fill="auto"/>
          <w:lang w:val="en-US" w:eastAsia="en-US" w:bidi="en-US"/>
        </w:rPr>
        <w:t>17</w:t>
      </w:r>
      <w:r>
        <w:rPr>
          <w:rFonts w:ascii="FrankRuehl" w:eastAsia="FrankRuehl" w:hAnsi="FrankRuehl" w:cs="FrankRuehl"/>
          <w:color w:val="000000"/>
          <w:spacing w:val="0"/>
          <w:w w:val="100"/>
          <w:position w:val="0"/>
          <w:sz w:val="26"/>
          <w:szCs w:val="26"/>
          <w:shd w:val="clear" w:color="auto" w:fill="auto"/>
          <w:lang w:val="he-IL" w:eastAsia="he-IL" w:bidi="he-IL"/>
          <w:rtl/>
        </w:rPr>
        <w:t xml:space="preserve"> </w:t>
      </w:r>
      <w:r>
        <w:rPr>
          <w:color w:val="000000"/>
          <w:spacing w:val="0"/>
          <w:w w:val="100"/>
          <w:position w:val="0"/>
          <w:shd w:val="clear" w:color="auto" w:fill="auto"/>
          <w:lang w:val="he-IL" w:eastAsia="he-IL" w:bidi="he-IL"/>
          <w:rtl/>
        </w:rPr>
        <w:t>אולי צ״ל רמב״ם במקום מרדכי והרמב״ם בפט״ז דאישות הלכה ח׳.</w:t>
      </w:r>
    </w:p>
    <w:p>
      <w:pPr>
        <w:pStyle w:val="Style15"/>
        <w:keepNext w:val="0"/>
        <w:keepLines w:val="0"/>
        <w:widowControl w:val="0"/>
        <w:shd w:val="clear" w:color="auto" w:fill="auto"/>
        <w:spacing w:before="0" w:after="0" w:line="283" w:lineRule="auto"/>
        <w:ind w:left="0" w:right="0" w:firstLine="0"/>
        <w:jc w:val="both"/>
      </w:pPr>
      <w:r>
        <w:rPr>
          <w:color w:val="000000"/>
          <w:spacing w:val="0"/>
          <w:w w:val="100"/>
          <w:position w:val="0"/>
          <w:shd w:val="clear" w:color="auto" w:fill="auto"/>
          <w:lang w:val="he-IL" w:eastAsia="he-IL" w:bidi="he-IL"/>
          <w:rtl/>
        </w:rPr>
        <w:t xml:space="preserve">הימן רט: ה, </w:t>
      </w:r>
      <w:r>
        <w:rPr>
          <w:rFonts w:ascii="FrankRuehl" w:eastAsia="FrankRuehl" w:hAnsi="FrankRuehl" w:cs="FrankRuehl"/>
          <w:color w:val="000000"/>
          <w:spacing w:val="0"/>
          <w:w w:val="100"/>
          <w:position w:val="0"/>
          <w:sz w:val="26"/>
          <w:szCs w:val="26"/>
          <w:shd w:val="clear" w:color="auto" w:fill="auto"/>
          <w:lang w:val="en-US" w:eastAsia="en-US" w:bidi="en-US"/>
        </w:rPr>
        <w:t>221</w:t>
      </w:r>
      <w:r>
        <w:rPr>
          <w:rFonts w:ascii="FrankRuehl" w:eastAsia="FrankRuehl" w:hAnsi="FrankRuehl" w:cs="FrankRuehl"/>
          <w:color w:val="000000"/>
          <w:spacing w:val="0"/>
          <w:w w:val="100"/>
          <w:position w:val="0"/>
          <w:sz w:val="26"/>
          <w:szCs w:val="26"/>
          <w:shd w:val="clear" w:color="auto" w:fill="auto"/>
          <w:lang w:val="he-IL" w:eastAsia="he-IL" w:bidi="he-IL"/>
          <w:rtl/>
        </w:rPr>
        <w:t xml:space="preserve"> </w:t>
      </w:r>
      <w:r>
        <w:rPr>
          <w:color w:val="000000"/>
          <w:spacing w:val="0"/>
          <w:w w:val="100"/>
          <w:position w:val="0"/>
          <w:shd w:val="clear" w:color="auto" w:fill="auto"/>
          <w:lang w:val="he-IL" w:eastAsia="he-IL" w:bidi="he-IL"/>
          <w:rtl/>
        </w:rPr>
        <w:t xml:space="preserve">דף </w:t>
      </w:r>
      <w:r>
        <w:rPr>
          <w:rFonts w:ascii="FrankRuehl" w:eastAsia="FrankRuehl" w:hAnsi="FrankRuehl" w:cs="FrankRuehl"/>
          <w:color w:val="000000"/>
          <w:spacing w:val="0"/>
          <w:w w:val="100"/>
          <w:position w:val="0"/>
          <w:sz w:val="26"/>
          <w:szCs w:val="26"/>
          <w:shd w:val="clear" w:color="auto" w:fill="auto"/>
          <w:lang w:val="en-US" w:eastAsia="en-US" w:bidi="en-US"/>
        </w:rPr>
        <w:t>45</w:t>
      </w:r>
      <w:r>
        <w:rPr>
          <w:rFonts w:ascii="FrankRuehl" w:eastAsia="FrankRuehl" w:hAnsi="FrankRuehl" w:cs="FrankRuehl"/>
          <w:color w:val="000000"/>
          <w:spacing w:val="0"/>
          <w:w w:val="100"/>
          <w:position w:val="0"/>
          <w:sz w:val="26"/>
          <w:szCs w:val="26"/>
          <w:shd w:val="clear" w:color="auto" w:fill="auto"/>
          <w:lang w:val="he-IL" w:eastAsia="he-IL" w:bidi="he-IL"/>
          <w:rtl/>
        </w:rPr>
        <w:t xml:space="preserve">, </w:t>
      </w:r>
      <w:r>
        <w:rPr>
          <w:color w:val="000000"/>
          <w:spacing w:val="0"/>
          <w:w w:val="100"/>
          <w:position w:val="0"/>
          <w:shd w:val="clear" w:color="auto" w:fill="auto"/>
          <w:lang w:val="he-IL" w:eastAsia="he-IL" w:bidi="he-IL"/>
          <w:rtl/>
        </w:rPr>
        <w:t xml:space="preserve">ב. הערתי וביארתי כפי הנלע״ד, אלא שמסופקני אם ירדתי לסוף הדברים. </w:t>
      </w:r>
      <w:r>
        <w:rPr>
          <w:rFonts w:ascii="FrankRuehl" w:eastAsia="FrankRuehl" w:hAnsi="FrankRuehl" w:cs="FrankRuehl"/>
          <w:color w:val="000000"/>
          <w:spacing w:val="0"/>
          <w:w w:val="100"/>
          <w:position w:val="0"/>
          <w:sz w:val="26"/>
          <w:szCs w:val="26"/>
          <w:shd w:val="clear" w:color="auto" w:fill="auto"/>
          <w:lang w:val="en-US" w:eastAsia="en-US" w:bidi="en-US"/>
        </w:rPr>
        <w:t>1</w:t>
      </w:r>
      <w:r>
        <w:rPr>
          <w:rFonts w:ascii="FrankRuehl" w:eastAsia="FrankRuehl" w:hAnsi="FrankRuehl" w:cs="FrankRuehl"/>
          <w:color w:val="000000"/>
          <w:spacing w:val="0"/>
          <w:w w:val="100"/>
          <w:position w:val="0"/>
          <w:sz w:val="26"/>
          <w:szCs w:val="26"/>
          <w:shd w:val="clear" w:color="auto" w:fill="auto"/>
          <w:lang w:val="he-IL" w:eastAsia="he-IL" w:bidi="he-IL"/>
          <w:rtl/>
        </w:rPr>
        <w:t xml:space="preserve"> </w:t>
      </w:r>
      <w:r>
        <w:rPr>
          <w:color w:val="000000"/>
          <w:spacing w:val="0"/>
          <w:w w:val="100"/>
          <w:position w:val="0"/>
          <w:shd w:val="clear" w:color="auto" w:fill="auto"/>
          <w:lang w:val="he-IL" w:eastAsia="he-IL" w:bidi="he-IL"/>
          <w:rtl/>
        </w:rPr>
        <w:t>רבינו יעקב ווייל.</w:t>
      </w:r>
    </w:p>
    <w:p>
      <w:pPr>
        <w:pStyle w:val="Style15"/>
        <w:keepNext w:val="0"/>
        <w:keepLines w:val="0"/>
        <w:widowControl w:val="0"/>
        <w:shd w:val="clear" w:color="auto" w:fill="auto"/>
        <w:spacing w:before="0" w:after="0"/>
        <w:ind w:left="0" w:right="0" w:firstLine="0"/>
        <w:jc w:val="both"/>
      </w:pPr>
      <w:r>
        <w:rPr>
          <w:rFonts w:ascii="FrankRuehl" w:eastAsia="FrankRuehl" w:hAnsi="FrankRuehl" w:cs="FrankRuehl"/>
          <w:color w:val="000000"/>
          <w:spacing w:val="0"/>
          <w:w w:val="100"/>
          <w:position w:val="0"/>
          <w:sz w:val="26"/>
          <w:szCs w:val="26"/>
          <w:shd w:val="clear" w:color="auto" w:fill="auto"/>
          <w:lang w:val="en-US" w:eastAsia="en-US" w:bidi="en-US"/>
        </w:rPr>
        <w:t>2</w:t>
      </w:r>
      <w:r>
        <w:rPr>
          <w:rFonts w:ascii="FrankRuehl" w:eastAsia="FrankRuehl" w:hAnsi="FrankRuehl" w:cs="FrankRuehl"/>
          <w:color w:val="000000"/>
          <w:spacing w:val="0"/>
          <w:w w:val="100"/>
          <w:position w:val="0"/>
          <w:sz w:val="26"/>
          <w:szCs w:val="26"/>
          <w:shd w:val="clear" w:color="auto" w:fill="auto"/>
          <w:lang w:val="he-IL" w:eastAsia="he-IL" w:bidi="he-IL"/>
          <w:rtl/>
        </w:rPr>
        <w:t xml:space="preserve"> </w:t>
      </w:r>
      <w:r>
        <w:rPr>
          <w:color w:val="000000"/>
          <w:spacing w:val="0"/>
          <w:w w:val="100"/>
          <w:position w:val="0"/>
          <w:shd w:val="clear" w:color="auto" w:fill="auto"/>
          <w:lang w:val="he-IL" w:eastAsia="he-IL" w:bidi="he-IL"/>
          <w:rtl/>
        </w:rPr>
        <w:t>הכוונה כנראה לרבינו שלמה שפירא שהיה רב בלנדא, עייז שו״ת מהר״ם מינץ סי׳ כ״ה והקדמת פריימן בלקט יושר סי׳ קכ״ז. וראה בשו״ת מהרי״ק סימן ס״ג וז״ל: "לפי דעתי באגו למחלוקת שני גדולי הדור בימים שעברו ה״ה מופת הדור מהר״ר יוחנן טרייב״ש ז״ל ומהר״ר שלמה שפירא ז״ל, וגם כמדומה אנכי שאבא מארי ז״ל הגיד אלי שמהר״ר יוחנן ז״ל היה מביא ראיה וכר".</w:t>
      </w:r>
    </w:p>
    <w:p>
      <w:pPr>
        <w:pStyle w:val="Style15"/>
        <w:keepNext w:val="0"/>
        <w:keepLines w:val="0"/>
        <w:widowControl w:val="0"/>
        <w:shd w:val="clear" w:color="auto" w:fill="auto"/>
        <w:spacing w:before="0" w:after="0"/>
        <w:ind w:left="0" w:right="0" w:firstLine="0"/>
        <w:jc w:val="both"/>
      </w:pPr>
      <w:r>
        <w:rPr>
          <w:rFonts w:ascii="FrankRuehl" w:eastAsia="FrankRuehl" w:hAnsi="FrankRuehl" w:cs="FrankRuehl"/>
          <w:color w:val="000000"/>
          <w:spacing w:val="0"/>
          <w:w w:val="100"/>
          <w:position w:val="0"/>
          <w:sz w:val="26"/>
          <w:szCs w:val="26"/>
          <w:shd w:val="clear" w:color="auto" w:fill="auto"/>
          <w:lang w:val="en-US" w:eastAsia="en-US" w:bidi="en-US"/>
        </w:rPr>
        <w:t>3</w:t>
      </w:r>
      <w:r>
        <w:rPr>
          <w:rFonts w:ascii="FrankRuehl" w:eastAsia="FrankRuehl" w:hAnsi="FrankRuehl" w:cs="FrankRuehl"/>
          <w:color w:val="000000"/>
          <w:spacing w:val="0"/>
          <w:w w:val="100"/>
          <w:position w:val="0"/>
          <w:sz w:val="26"/>
          <w:szCs w:val="26"/>
          <w:shd w:val="clear" w:color="auto" w:fill="auto"/>
          <w:lang w:val="he-IL" w:eastAsia="he-IL" w:bidi="he-IL"/>
          <w:rtl/>
        </w:rPr>
        <w:t xml:space="preserve"> </w:t>
      </w:r>
      <w:r>
        <w:rPr>
          <w:color w:val="000000"/>
          <w:spacing w:val="0"/>
          <w:w w:val="100"/>
          <w:position w:val="0"/>
          <w:shd w:val="clear" w:color="auto" w:fill="auto"/>
          <w:lang w:val="he-IL" w:eastAsia="he-IL" w:bidi="he-IL"/>
          <w:rtl/>
        </w:rPr>
        <w:t xml:space="preserve">הטעם אינו מבואר. ועיין יש״ש יבמות פרק י״ג סי׳ י״ז שכתב ז״ל "המיאון נהגו בימים האחרונים אשר לפנינו שלא למאן, רנתפשטו מהחכם מהר״ר מנחם מעיל צדק (ב״ר פנחס, והוא מה״ר מנחם מירזבורק, כד כתב מהר״י מינץ בתשובותיו סי י״ג) אשר איזן ותיקן כמה גדרים וסיגים לתורה והיה מומחה וגדול בתורה ונתפשטו תקנותיו וגזירותיו בכל ארץ אשכנז, וכתב טעמא למלתא שלא יאמרו הבריות אשת איש יוצאת בע״כ של איש בלא גט. וא״כ מתוך זה יקילו בעונש אשת איש וגם שמא תמאן בפני עמי הארץ ובוקי שלא ידעו זמן המיאון אם ראוי למאן, דשמא לא יבדקו בשנותיה הטיב, ועוד נראה דאיכא למיחש שמא יבואו למאן בקטנה אפילו ביתומה שנתקדשה ע״י אביה שהיא אשת </w:t>
      </w:r>
      <w:r>
        <w:rPr>
          <w:color w:val="000000"/>
          <w:spacing w:val="0"/>
          <w:w w:val="100"/>
          <w:position w:val="0"/>
          <w:shd w:val="clear" w:color="auto" w:fill="auto"/>
          <w:lang w:val="he-IL" w:eastAsia="he-IL" w:bidi="he-IL"/>
          <w:rtl/>
        </w:rPr>
        <w:t xml:space="preserve">איש גמורה, והסכימו לזה כל החכמים האחרונים גדולי הדור אשר היו לפנינו ובסרט הגדול והחסיד מהרר״י מרגליות ומהר״ר פנחס מפראג ומהר״י יהודא מינץ (שו״ת סי׳ י״ג, ע״ש). כר וגדול אחד בדורו (מה״ר יעקב פולק) אשר היה לפני, נהג ועשה הלכה למעשה והושיב ב״ד ומיאנה יתומה (מרת סילק׳) בבעלה (מה״ר דוד צענר) שהיה אדם גדול בתורה ונחלקו עליו כל החכמים האחרונים אשר הזכרתי וכל גדולי אשכנז וגזרו עליו שלא תצא במיאון וברכוהו על ככה. ומרוב חשיבותו וגדלותו העמיד המיאון על דעתו ולא השגיח בהן ובגזירות׳ והביא שגם לפניו היו נוהגים במיאון והיתה נשאת אותה אשה לאדם אחר על פי אותה המיאון, אבל שמעתי׳ שזיווגן לא היה עולה יפה. כר", והסיק שם היש״ש להצריכה גט. ועיין רמ״א אה״ע סוף סי׳ קנ״ה שפסק כמה״ר יעקב פולק. ואולי הטעם שהחמיר מהרי״ל אינו משום גזירת מה״ר מנחם מעיל צדק אלא משום שלימדוה למאן ואינו מועיל לפי שיטת הראב״ד, עיין גליא מסכתא בקונטרס אהרון סי׳ ר. וקצת משמע משו״ת מהרי״ו סי׳ קי״ב דלית ליה </w:t>
      </w:r>
      <w:r>
        <w:rPr>
          <w:i/>
          <w:iCs/>
          <w:color w:val="000000"/>
          <w:spacing w:val="0"/>
          <w:w w:val="100"/>
          <w:position w:val="0"/>
          <w:shd w:val="clear" w:color="auto" w:fill="auto"/>
          <w:lang w:val="he-IL" w:eastAsia="he-IL" w:bidi="he-IL"/>
          <w:rtl/>
        </w:rPr>
        <w:t>גזירת מה״ר</w:t>
      </w:r>
      <w:r>
        <w:rPr>
          <w:color w:val="000000"/>
          <w:spacing w:val="0"/>
          <w:w w:val="100"/>
          <w:position w:val="0"/>
          <w:shd w:val="clear" w:color="auto" w:fill="auto"/>
          <w:lang w:val="he-IL" w:eastAsia="he-IL" w:bidi="he-IL"/>
          <w:rtl/>
        </w:rPr>
        <w:t xml:space="preserve"> מנחם מדלא הזכירו לענין מיאון קטנה, ע״ש.</w:t>
      </w:r>
    </w:p>
    <w:p>
      <w:pPr>
        <w:pStyle w:val="Style15"/>
        <w:keepNext w:val="0"/>
        <w:keepLines w:val="0"/>
        <w:widowControl w:val="0"/>
        <w:shd w:val="clear" w:color="auto" w:fill="auto"/>
        <w:spacing w:before="0" w:after="0"/>
        <w:ind w:left="0" w:right="0" w:firstLine="0"/>
        <w:jc w:val="both"/>
      </w:pPr>
      <w:r>
        <w:rPr>
          <w:rFonts w:ascii="FrankRuehl" w:eastAsia="FrankRuehl" w:hAnsi="FrankRuehl" w:cs="FrankRuehl"/>
          <w:color w:val="000000"/>
          <w:spacing w:val="0"/>
          <w:w w:val="100"/>
          <w:position w:val="0"/>
          <w:sz w:val="26"/>
          <w:szCs w:val="26"/>
          <w:shd w:val="clear" w:color="auto" w:fill="auto"/>
          <w:lang w:val="en-US" w:eastAsia="en-US" w:bidi="en-US"/>
        </w:rPr>
        <w:t>4</w:t>
      </w:r>
      <w:r>
        <w:rPr>
          <w:rFonts w:ascii="FrankRuehl" w:eastAsia="FrankRuehl" w:hAnsi="FrankRuehl" w:cs="FrankRuehl"/>
          <w:color w:val="000000"/>
          <w:spacing w:val="0"/>
          <w:w w:val="100"/>
          <w:position w:val="0"/>
          <w:sz w:val="26"/>
          <w:szCs w:val="26"/>
          <w:shd w:val="clear" w:color="auto" w:fill="auto"/>
          <w:lang w:val="he-IL" w:eastAsia="he-IL" w:bidi="he-IL"/>
          <w:rtl/>
        </w:rPr>
        <w:t xml:space="preserve"> </w:t>
      </w:r>
      <w:r>
        <w:rPr>
          <w:color w:val="000000"/>
          <w:spacing w:val="0"/>
          <w:w w:val="100"/>
          <w:position w:val="0"/>
          <w:shd w:val="clear" w:color="auto" w:fill="auto"/>
          <w:lang w:val="he-IL" w:eastAsia="he-IL" w:bidi="he-IL"/>
          <w:rtl/>
        </w:rPr>
        <w:t>הטעם אינו מבואר. והנה בגליא מסכתא מוזכרת סברה דע״י מיאון הוי חליצה פסולה וצריכה לחזור על כל האחים. ויותר נראה שמהרי״ל השש שמא המיאון מועיל, ולמה יפסלוה לכהונה לפני שישמע דברי מה״ר יוחנן. ועיין יבמות קיט, ב לענין הכרזה לכהונה, וצ״ע.</w:t>
      </w:r>
    </w:p>
    <w:p>
      <w:pPr>
        <w:pStyle w:val="Style15"/>
        <w:keepNext w:val="0"/>
        <w:keepLines w:val="0"/>
        <w:widowControl w:val="0"/>
        <w:shd w:val="clear" w:color="auto" w:fill="auto"/>
        <w:spacing w:before="0" w:after="0" w:line="288" w:lineRule="auto"/>
        <w:ind w:left="0" w:right="0" w:firstLine="0"/>
        <w:jc w:val="both"/>
        <w:sectPr>
          <w:footnotePr>
            <w:pos w:val="pageBottom"/>
            <w:numFmt w:val="decimal"/>
            <w:numStart w:val="11"/>
            <w:numRestart w:val="continuous"/>
            <w15:footnoteColumns w:val="1"/>
          </w:footnotePr>
          <w:type w:val="continuous"/>
          <w:pgSz w:w="11900" w:h="16840"/>
          <w:pgMar w:top="500" w:right="929" w:bottom="214" w:left="1068" w:header="0" w:footer="3" w:gutter="0"/>
          <w:cols w:num="2" w:space="307"/>
          <w:noEndnote/>
          <w:bidi/>
          <w:rtlGutter w:val="0"/>
          <w:docGrid w:linePitch="360"/>
        </w:sectPr>
      </w:pPr>
      <w:r>
        <w:rPr>
          <w:rFonts w:ascii="FrankRuehl" w:eastAsia="FrankRuehl" w:hAnsi="FrankRuehl" w:cs="FrankRuehl"/>
          <w:color w:val="000000"/>
          <w:spacing w:val="0"/>
          <w:w w:val="100"/>
          <w:position w:val="0"/>
          <w:sz w:val="26"/>
          <w:szCs w:val="26"/>
          <w:shd w:val="clear" w:color="auto" w:fill="auto"/>
          <w:lang w:val="en-US" w:eastAsia="en-US" w:bidi="en-US"/>
        </w:rPr>
        <w:t>5</w:t>
      </w:r>
      <w:r>
        <w:rPr>
          <w:rFonts w:ascii="FrankRuehl" w:eastAsia="FrankRuehl" w:hAnsi="FrankRuehl" w:cs="FrankRuehl"/>
          <w:color w:val="000000"/>
          <w:spacing w:val="0"/>
          <w:w w:val="100"/>
          <w:position w:val="0"/>
          <w:sz w:val="26"/>
          <w:szCs w:val="26"/>
          <w:shd w:val="clear" w:color="auto" w:fill="auto"/>
          <w:lang w:val="he-IL" w:eastAsia="he-IL" w:bidi="he-IL"/>
          <w:rtl/>
        </w:rPr>
        <w:t xml:space="preserve"> </w:t>
      </w:r>
      <w:r>
        <w:rPr>
          <w:color w:val="000000"/>
          <w:spacing w:val="0"/>
          <w:w w:val="100"/>
          <w:position w:val="0"/>
          <w:shd w:val="clear" w:color="auto" w:fill="auto"/>
          <w:lang w:val="he-IL" w:eastAsia="he-IL" w:bidi="he-IL"/>
          <w:rtl/>
        </w:rPr>
        <w:t>מוזכר בשו״ת מהר״י ברונא סי׳ קכ״ו ורפ״ב ורפ״ג.</w:t>
      </w:r>
    </w:p>
    <w:sectPr>
      <w:footnotePr>
        <w:pos w:val="pageBottom"/>
        <w:numFmt w:val="decimal"/>
        <w:numStart w:val="11"/>
        <w:numRestart w:val="continuous"/>
        <w15:footnoteColumns w:val="1"/>
      </w:footnotePr>
      <w:type w:val="continuous"/>
      <w:pgSz w:w="11900" w:h="16840"/>
      <w:pgMar w:top="500" w:right="929" w:bottom="214" w:left="1068" w:header="0" w:footer="3" w:gutter="0"/>
      <w:cols w:num="2" w:space="307"/>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pPr>
        <w:bidi/>
      </w:pPr>
      <w:r/>
    </w:p>
  </w:footnote>
  <w:footnote w:id="1" w:type="continuationSeparator">
    <w:p>
      <w:pPr>
        <w:bidi/>
      </w:pPr>
      <w:r/>
    </w:p>
  </w:footnote>
  <w:footnote w:id="2">
    <w:p>
      <w:pPr>
        <w:pStyle w:val="Style2"/>
        <w:keepNext w:val="0"/>
        <w:keepLines w:val="0"/>
        <w:widowControl w:val="0"/>
        <w:shd w:val="clear" w:color="auto" w:fill="auto"/>
        <w:spacing w:before="0" w:after="0"/>
        <w:ind w:left="0" w:right="0" w:firstLine="0"/>
        <w:jc w:val="both"/>
      </w:pPr>
      <w:r>
        <w:rPr>
          <w:rFonts w:ascii="FrankRuehl" w:eastAsia="FrankRuehl" w:hAnsi="FrankRuehl" w:cs="FrankRuehl"/>
          <w:color w:val="000000"/>
          <w:spacing w:val="0"/>
          <w:w w:val="100"/>
          <w:position w:val="0"/>
          <w:sz w:val="26"/>
          <w:szCs w:val="26"/>
          <w:shd w:val="clear" w:color="auto" w:fill="auto"/>
          <w:lang w:val="en-US" w:eastAsia="en-US" w:bidi="en-US"/>
        </w:rPr>
        <w:footnoteRef/>
      </w:r>
      <w:r>
        <w:rPr>
          <w:rFonts w:ascii="FrankRuehl" w:eastAsia="FrankRuehl" w:hAnsi="FrankRuehl" w:cs="FrankRuehl"/>
          <w:color w:val="000000"/>
          <w:spacing w:val="0"/>
          <w:w w:val="100"/>
          <w:position w:val="0"/>
          <w:sz w:val="26"/>
          <w:szCs w:val="26"/>
          <w:shd w:val="clear" w:color="auto" w:fill="auto"/>
          <w:lang w:val="he-IL" w:eastAsia="he-IL" w:bidi="he-IL"/>
          <w:rtl/>
        </w:rPr>
        <w:t xml:space="preserve"> </w:t>
      </w:r>
      <w:r>
        <w:rPr>
          <w:color w:val="000000"/>
          <w:spacing w:val="0"/>
          <w:w w:val="100"/>
          <w:position w:val="0"/>
          <w:shd w:val="clear" w:color="auto" w:fill="auto"/>
          <w:lang w:val="he-IL" w:eastAsia="he-IL" w:bidi="he-IL"/>
          <w:rtl/>
        </w:rPr>
        <w:t>כתובות פ״ח סוף סי׳ י״ג. בגמרא פב, א איתא לא אשכחן תנא דמתמיר תרי חומרי בכתובה, רפרש״י שהרי היא מדברי סופרים. חדא דמטלטלי משתעבדי לה וחדא דגביא מבעל חוב של מת מדרבי נתן כו׳ (שיעבודא דרבי נתן). וכתב הרא״ש "אבל השתא דתקינר רבנן דגבי כתובה ממטלטלי יחזרו להיות המטלטלי כמו מקרקעי ואיו כאן אלא חומרא אחת כר׳ גתן".</w:t>
      </w:r>
    </w:p>
  </w:footnote>
  <w:footnote w:id="3">
    <w:p>
      <w:pPr>
        <w:pStyle w:val="Style2"/>
        <w:keepNext w:val="0"/>
        <w:keepLines w:val="0"/>
        <w:widowControl w:val="0"/>
        <w:shd w:val="clear" w:color="auto" w:fill="auto"/>
        <w:spacing w:before="0" w:after="0" w:line="266" w:lineRule="auto"/>
        <w:ind w:left="0" w:right="0" w:firstLine="0"/>
        <w:jc w:val="both"/>
      </w:pPr>
      <w:r>
        <w:rPr>
          <w:rFonts w:ascii="FrankRuehl" w:eastAsia="FrankRuehl" w:hAnsi="FrankRuehl" w:cs="FrankRuehl"/>
          <w:color w:val="000000"/>
          <w:spacing w:val="0"/>
          <w:w w:val="100"/>
          <w:position w:val="0"/>
          <w:sz w:val="26"/>
          <w:szCs w:val="26"/>
          <w:shd w:val="clear" w:color="auto" w:fill="auto"/>
          <w:lang w:val="en-US" w:eastAsia="en-US" w:bidi="en-US"/>
        </w:rPr>
        <w:footnoteRef/>
      </w:r>
      <w:r>
        <w:rPr>
          <w:rFonts w:ascii="FrankRuehl" w:eastAsia="FrankRuehl" w:hAnsi="FrankRuehl" w:cs="FrankRuehl"/>
          <w:color w:val="000000"/>
          <w:spacing w:val="0"/>
          <w:w w:val="100"/>
          <w:position w:val="0"/>
          <w:sz w:val="26"/>
          <w:szCs w:val="26"/>
          <w:shd w:val="clear" w:color="auto" w:fill="auto"/>
          <w:lang w:val="he-IL" w:eastAsia="he-IL" w:bidi="he-IL"/>
          <w:rtl/>
        </w:rPr>
        <w:t xml:space="preserve"> </w:t>
      </w:r>
      <w:r>
        <w:rPr>
          <w:color w:val="000000"/>
          <w:spacing w:val="0"/>
          <w:w w:val="100"/>
          <w:position w:val="0"/>
          <w:shd w:val="clear" w:color="auto" w:fill="auto"/>
          <w:lang w:val="he-IL" w:eastAsia="he-IL" w:bidi="he-IL"/>
          <w:rtl/>
        </w:rPr>
        <w:t>שם ברא״ש.</w:t>
      </w:r>
    </w:p>
  </w:footnote>
  <w:footnote w:id="4">
    <w:p>
      <w:pPr>
        <w:pStyle w:val="Style2"/>
        <w:keepNext w:val="0"/>
        <w:keepLines w:val="0"/>
        <w:widowControl w:val="0"/>
        <w:shd w:val="clear" w:color="auto" w:fill="auto"/>
        <w:spacing w:before="0" w:after="0" w:line="266" w:lineRule="auto"/>
        <w:ind w:left="0" w:right="0" w:firstLine="0"/>
        <w:jc w:val="left"/>
      </w:pPr>
      <w:r>
        <w:rPr>
          <w:rFonts w:ascii="FrankRuehl" w:eastAsia="FrankRuehl" w:hAnsi="FrankRuehl" w:cs="FrankRuehl"/>
          <w:color w:val="000000"/>
          <w:spacing w:val="0"/>
          <w:w w:val="100"/>
          <w:position w:val="0"/>
          <w:sz w:val="26"/>
          <w:szCs w:val="26"/>
          <w:shd w:val="clear" w:color="auto" w:fill="auto"/>
          <w:lang w:val="en-US" w:eastAsia="en-US" w:bidi="en-US"/>
        </w:rPr>
        <w:footnoteRef/>
      </w:r>
      <w:r>
        <w:rPr>
          <w:rFonts w:ascii="FrankRuehl" w:eastAsia="FrankRuehl" w:hAnsi="FrankRuehl" w:cs="FrankRuehl"/>
          <w:color w:val="000000"/>
          <w:spacing w:val="0"/>
          <w:w w:val="100"/>
          <w:position w:val="0"/>
          <w:sz w:val="26"/>
          <w:szCs w:val="26"/>
          <w:shd w:val="clear" w:color="auto" w:fill="auto"/>
          <w:lang w:val="he-IL" w:eastAsia="he-IL" w:bidi="he-IL"/>
          <w:rtl/>
        </w:rPr>
        <w:t xml:space="preserve"> </w:t>
      </w:r>
      <w:r>
        <w:rPr>
          <w:color w:val="000000"/>
          <w:spacing w:val="0"/>
          <w:w w:val="100"/>
          <w:position w:val="0"/>
          <w:shd w:val="clear" w:color="auto" w:fill="auto"/>
          <w:lang w:val="he-IL" w:eastAsia="he-IL" w:bidi="he-IL"/>
          <w:rtl/>
        </w:rPr>
        <w:t>פרק כ״ב דאישות הי״ג.</w:t>
      </w:r>
    </w:p>
  </w:footnote>
  <w:footnote w:id="5">
    <w:p>
      <w:pPr>
        <w:pStyle w:val="Style2"/>
        <w:keepNext w:val="0"/>
        <w:keepLines w:val="0"/>
        <w:widowControl w:val="0"/>
        <w:shd w:val="clear" w:color="auto" w:fill="auto"/>
        <w:spacing w:before="0" w:after="0" w:line="293" w:lineRule="auto"/>
        <w:ind w:left="0" w:right="0" w:firstLine="0"/>
        <w:jc w:val="both"/>
      </w:pPr>
      <w:r>
        <w:rPr>
          <w:rFonts w:ascii="FrankRuehl" w:eastAsia="FrankRuehl" w:hAnsi="FrankRuehl" w:cs="FrankRuehl"/>
          <w:color w:val="000000"/>
          <w:spacing w:val="0"/>
          <w:w w:val="100"/>
          <w:position w:val="0"/>
          <w:sz w:val="26"/>
          <w:szCs w:val="26"/>
          <w:shd w:val="clear" w:color="auto" w:fill="auto"/>
          <w:lang w:val="en-US" w:eastAsia="en-US" w:bidi="en-US"/>
        </w:rPr>
        <w:footnoteRef/>
      </w:r>
      <w:r>
        <w:rPr>
          <w:rFonts w:ascii="FrankRuehl" w:eastAsia="FrankRuehl" w:hAnsi="FrankRuehl" w:cs="FrankRuehl"/>
          <w:color w:val="000000"/>
          <w:spacing w:val="0"/>
          <w:w w:val="100"/>
          <w:position w:val="0"/>
          <w:sz w:val="26"/>
          <w:szCs w:val="26"/>
          <w:shd w:val="clear" w:color="auto" w:fill="auto"/>
          <w:lang w:val="he-IL" w:eastAsia="he-IL" w:bidi="he-IL"/>
          <w:rtl/>
        </w:rPr>
        <w:t xml:space="preserve"> </w:t>
      </w:r>
      <w:r>
        <w:rPr>
          <w:color w:val="000000"/>
          <w:spacing w:val="0"/>
          <w:w w:val="100"/>
          <w:position w:val="0"/>
          <w:shd w:val="clear" w:color="auto" w:fill="auto"/>
          <w:lang w:val="he-IL" w:eastAsia="he-IL" w:bidi="he-IL"/>
          <w:rtl/>
        </w:rPr>
        <w:t>טור אה״ע סי׳ קי״ב ועיין רמ״א שם סעיף י״ב.</w:t>
      </w:r>
    </w:p>
  </w:footnote>
  <w:footnote w:id="6">
    <w:p>
      <w:pPr>
        <w:pStyle w:val="Style2"/>
        <w:keepNext w:val="0"/>
        <w:keepLines w:val="0"/>
        <w:widowControl w:val="0"/>
        <w:shd w:val="clear" w:color="auto" w:fill="auto"/>
        <w:spacing w:before="0" w:after="0"/>
        <w:ind w:left="0" w:right="0" w:firstLine="0"/>
        <w:jc w:val="both"/>
      </w:pPr>
      <w:r>
        <w:rPr>
          <w:rFonts w:ascii="FrankRuehl" w:eastAsia="FrankRuehl" w:hAnsi="FrankRuehl" w:cs="FrankRuehl"/>
          <w:color w:val="000000"/>
          <w:spacing w:val="0"/>
          <w:w w:val="100"/>
          <w:position w:val="0"/>
          <w:sz w:val="26"/>
          <w:szCs w:val="26"/>
          <w:shd w:val="clear" w:color="auto" w:fill="auto"/>
          <w:lang w:val="en-US" w:eastAsia="en-US" w:bidi="en-US"/>
        </w:rPr>
        <w:footnoteRef/>
      </w:r>
      <w:r>
        <w:rPr>
          <w:rFonts w:ascii="FrankRuehl" w:eastAsia="FrankRuehl" w:hAnsi="FrankRuehl" w:cs="FrankRuehl"/>
          <w:color w:val="000000"/>
          <w:spacing w:val="0"/>
          <w:w w:val="100"/>
          <w:position w:val="0"/>
          <w:sz w:val="26"/>
          <w:szCs w:val="26"/>
          <w:shd w:val="clear" w:color="auto" w:fill="auto"/>
          <w:lang w:val="he-IL" w:eastAsia="he-IL" w:bidi="he-IL"/>
          <w:rtl/>
        </w:rPr>
        <w:t xml:space="preserve"> </w:t>
      </w:r>
      <w:r>
        <w:rPr>
          <w:color w:val="000000"/>
          <w:spacing w:val="0"/>
          <w:w w:val="100"/>
          <w:position w:val="0"/>
          <w:shd w:val="clear" w:color="auto" w:fill="auto"/>
          <w:lang w:val="he-IL" w:eastAsia="he-IL" w:bidi="he-IL"/>
          <w:rtl/>
        </w:rPr>
        <w:t>נראה כונתו שיש מחלוקת אם כופין לחלוץ או לא ולפיכך לא כייפינן ולפעמים היבמים מעגנים היבמה כדי שישלמו להם כסף ולפיכך תקנו לחלק הכסף לשכנע את היבם לחלח ועיין פו״כ של מהרא״י סי׳ רס״ב ותה״ד סי׳ ר׳׳כ.</w:t>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4"/>
      <w:numFmt w:val="decimal"/>
      <w:lvlText w:val="%1"/>
      <w:rPr>
        <w:rFonts w:ascii="FrankRuehl" w:eastAsia="FrankRuehl" w:hAnsi="FrankRuehl" w:cs="FrankRuehl"/>
        <w:b w:val="0"/>
        <w:bCs w:val="0"/>
        <w:i w:val="0"/>
        <w:iCs w:val="0"/>
        <w:smallCaps w:val="0"/>
        <w:strike w:val="0"/>
        <w:color w:val="000000"/>
        <w:spacing w:val="0"/>
        <w:w w:val="100"/>
        <w:position w:val="0"/>
        <w:sz w:val="26"/>
        <w:szCs w:val="26"/>
        <w:u w:val="none"/>
        <w:shd w:val="clear" w:color="auto" w:fill="auto"/>
        <w:lang w:val="en-US" w:eastAsia="en-US" w:bidi="en-US"/>
      </w:rPr>
    </w:lvl>
  </w:abstractNum>
  <w:abstractNum w:abstractNumId="2">
    <w:multiLevelType w:val="multilevel"/>
    <w:lvl w:ilvl="0">
      <w:start w:val="7"/>
      <w:numFmt w:val="decimal"/>
      <w:lvlText w:val="%1"/>
      <w:rPr>
        <w:rFonts w:ascii="FrankRuehl" w:eastAsia="FrankRuehl" w:hAnsi="FrankRuehl" w:cs="FrankRuehl"/>
        <w:b w:val="0"/>
        <w:bCs w:val="0"/>
        <w:i w:val="0"/>
        <w:iCs w:val="0"/>
        <w:smallCaps w:val="0"/>
        <w:strike w:val="0"/>
        <w:color w:val="000000"/>
        <w:spacing w:val="0"/>
        <w:w w:val="100"/>
        <w:position w:val="0"/>
        <w:sz w:val="26"/>
        <w:szCs w:val="26"/>
        <w:u w:val="none"/>
        <w:shd w:val="clear" w:color="auto" w:fill="auto"/>
        <w:lang w:val="en-US" w:eastAsia="en-US" w:bidi="en-US"/>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he-IL" w:eastAsia="he-IL" w:bidi="he-IL"/>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he-IL" w:eastAsia="he-IL" w:bidi="he-IL"/>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he-IL" w:eastAsia="he-IL" w:bidi="he-IL"/>
    </w:rPr>
  </w:style>
  <w:style w:type="character" w:customStyle="1" w:styleId="CharStyle3">
    <w:name w:val="Footnote_"/>
    <w:basedOn w:val="DefaultParagraphFont"/>
    <w:link w:val="Style2"/>
    <w:rPr>
      <w:rFonts w:ascii="Microsoft Sans Serif" w:eastAsia="Microsoft Sans Serif" w:hAnsi="Microsoft Sans Serif" w:cs="Microsoft Sans Serif"/>
      <w:b w:val="0"/>
      <w:bCs w:val="0"/>
      <w:i w:val="0"/>
      <w:iCs w:val="0"/>
      <w:smallCaps w:val="0"/>
      <w:strike w:val="0"/>
      <w:sz w:val="22"/>
      <w:szCs w:val="22"/>
      <w:u w:val="none"/>
    </w:rPr>
  </w:style>
  <w:style w:type="character" w:customStyle="1" w:styleId="CharStyle6">
    <w:name w:val="Body text (2)_"/>
    <w:basedOn w:val="DefaultParagraphFont"/>
    <w:link w:val="Style5"/>
    <w:rPr>
      <w:rFonts w:ascii="Aharoni" w:eastAsia="Aharoni" w:hAnsi="Aharoni" w:cs="Aharoni"/>
      <w:b/>
      <w:bCs/>
      <w:i w:val="0"/>
      <w:iCs w:val="0"/>
      <w:smallCaps w:val="0"/>
      <w:strike w:val="0"/>
      <w:sz w:val="30"/>
      <w:szCs w:val="30"/>
      <w:u w:val="none"/>
    </w:rPr>
  </w:style>
  <w:style w:type="character" w:customStyle="1" w:styleId="CharStyle8">
    <w:name w:val="Heading #1_"/>
    <w:basedOn w:val="DefaultParagraphFont"/>
    <w:link w:val="Style7"/>
    <w:rPr>
      <w:rFonts w:ascii="Aharoni" w:eastAsia="Aharoni" w:hAnsi="Aharoni" w:cs="Aharoni"/>
      <w:b/>
      <w:bCs/>
      <w:i w:val="0"/>
      <w:iCs w:val="0"/>
      <w:smallCaps w:val="0"/>
      <w:strike w:val="0"/>
      <w:sz w:val="44"/>
      <w:szCs w:val="44"/>
      <w:u w:val="none"/>
    </w:rPr>
  </w:style>
  <w:style w:type="character" w:customStyle="1" w:styleId="CharStyle10">
    <w:name w:val="Body text (3)_"/>
    <w:basedOn w:val="DefaultParagraphFont"/>
    <w:link w:val="Style9"/>
    <w:rPr>
      <w:rFonts w:ascii="Times New Roman" w:eastAsia="Times New Roman" w:hAnsi="Times New Roman" w:cs="Times New Roman"/>
      <w:b w:val="0"/>
      <w:bCs w:val="0"/>
      <w:i w:val="0"/>
      <w:iCs w:val="0"/>
      <w:smallCaps w:val="0"/>
      <w:strike w:val="0"/>
      <w:color w:val="252525"/>
      <w:sz w:val="9"/>
      <w:szCs w:val="9"/>
      <w:u w:val="single"/>
      <w:lang w:val="en-US" w:eastAsia="en-US" w:bidi="en-US"/>
    </w:rPr>
  </w:style>
  <w:style w:type="character" w:customStyle="1" w:styleId="CharStyle16">
    <w:name w:val="Body text_"/>
    <w:basedOn w:val="DefaultParagraphFont"/>
    <w:link w:val="Style15"/>
    <w:rPr>
      <w:rFonts w:ascii="Microsoft Sans Serif" w:eastAsia="Microsoft Sans Serif" w:hAnsi="Microsoft Sans Serif" w:cs="Microsoft Sans Serif"/>
      <w:b w:val="0"/>
      <w:bCs w:val="0"/>
      <w:i w:val="0"/>
      <w:iCs w:val="0"/>
      <w:smallCaps w:val="0"/>
      <w:strike w:val="0"/>
      <w:sz w:val="22"/>
      <w:szCs w:val="22"/>
      <w:u w:val="none"/>
    </w:rPr>
  </w:style>
  <w:style w:type="paragraph" w:customStyle="1" w:styleId="Style2">
    <w:name w:val="Footnote"/>
    <w:basedOn w:val="Normal"/>
    <w:link w:val="CharStyle3"/>
    <w:pPr>
      <w:widowControl w:val="0"/>
      <w:shd w:val="clear" w:color="auto" w:fill="auto"/>
      <w:bidi/>
      <w:spacing w:line="288" w:lineRule="auto"/>
      <w:jc w:val="left"/>
    </w:pPr>
    <w:rPr>
      <w:rFonts w:ascii="Microsoft Sans Serif" w:eastAsia="Microsoft Sans Serif" w:hAnsi="Microsoft Sans Serif" w:cs="Microsoft Sans Serif"/>
      <w:b w:val="0"/>
      <w:bCs w:val="0"/>
      <w:i w:val="0"/>
      <w:iCs w:val="0"/>
      <w:smallCaps w:val="0"/>
      <w:strike w:val="0"/>
      <w:sz w:val="22"/>
      <w:szCs w:val="22"/>
      <w:u w:val="none"/>
    </w:rPr>
  </w:style>
  <w:style w:type="paragraph" w:customStyle="1" w:styleId="Style5">
    <w:name w:val="Body text (2)"/>
    <w:basedOn w:val="Normal"/>
    <w:link w:val="CharStyle6"/>
    <w:pPr>
      <w:widowControl w:val="0"/>
      <w:shd w:val="clear" w:color="auto" w:fill="auto"/>
      <w:bidi/>
      <w:spacing w:line="341" w:lineRule="auto"/>
      <w:jc w:val="left"/>
    </w:pPr>
    <w:rPr>
      <w:rFonts w:ascii="Aharoni" w:eastAsia="Aharoni" w:hAnsi="Aharoni" w:cs="Aharoni"/>
      <w:b/>
      <w:bCs/>
      <w:i w:val="0"/>
      <w:iCs w:val="0"/>
      <w:smallCaps w:val="0"/>
      <w:strike w:val="0"/>
      <w:sz w:val="30"/>
      <w:szCs w:val="30"/>
      <w:u w:val="none"/>
    </w:rPr>
  </w:style>
  <w:style w:type="paragraph" w:customStyle="1" w:styleId="Style7">
    <w:name w:val="Heading #1"/>
    <w:basedOn w:val="Normal"/>
    <w:link w:val="CharStyle8"/>
    <w:pPr>
      <w:widowControl w:val="0"/>
      <w:shd w:val="clear" w:color="auto" w:fill="auto"/>
      <w:bidi/>
      <w:spacing w:after="140"/>
      <w:jc w:val="center"/>
      <w:outlineLvl w:val="0"/>
    </w:pPr>
    <w:rPr>
      <w:rFonts w:ascii="Aharoni" w:eastAsia="Aharoni" w:hAnsi="Aharoni" w:cs="Aharoni"/>
      <w:b/>
      <w:bCs/>
      <w:i w:val="0"/>
      <w:iCs w:val="0"/>
      <w:smallCaps w:val="0"/>
      <w:strike w:val="0"/>
      <w:sz w:val="44"/>
      <w:szCs w:val="44"/>
      <w:u w:val="none"/>
    </w:rPr>
  </w:style>
  <w:style w:type="paragraph" w:customStyle="1" w:styleId="Style9">
    <w:name w:val="Body text (3)"/>
    <w:basedOn w:val="Normal"/>
    <w:link w:val="CharStyle10"/>
    <w:pPr>
      <w:widowControl w:val="0"/>
      <w:shd w:val="clear" w:color="auto" w:fill="auto"/>
      <w:spacing w:after="80" w:line="180" w:lineRule="auto"/>
      <w:ind w:left="1640"/>
    </w:pPr>
    <w:rPr>
      <w:rFonts w:ascii="Times New Roman" w:eastAsia="Times New Roman" w:hAnsi="Times New Roman" w:cs="Times New Roman"/>
      <w:b w:val="0"/>
      <w:bCs w:val="0"/>
      <w:i w:val="0"/>
      <w:iCs w:val="0"/>
      <w:smallCaps w:val="0"/>
      <w:strike w:val="0"/>
      <w:color w:val="252525"/>
      <w:sz w:val="9"/>
      <w:szCs w:val="9"/>
      <w:u w:val="single"/>
      <w:lang w:val="en-US" w:eastAsia="en-US" w:bidi="en-US"/>
    </w:rPr>
  </w:style>
  <w:style w:type="paragraph" w:styleId="Style15">
    <w:name w:val="Body text"/>
    <w:basedOn w:val="Normal"/>
    <w:link w:val="CharStyle16"/>
    <w:qFormat/>
    <w:pPr>
      <w:widowControl w:val="0"/>
      <w:shd w:val="clear" w:color="auto" w:fill="auto"/>
      <w:bidi/>
      <w:spacing w:line="290" w:lineRule="auto"/>
      <w:jc w:val="left"/>
    </w:pPr>
    <w:rPr>
      <w:rFonts w:ascii="Microsoft Sans Serif" w:eastAsia="Microsoft Sans Serif" w:hAnsi="Microsoft Sans Serif" w:cs="Microsoft Sans Serif"/>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