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body>
    <w:tbl>
      <w:tblPr>
        <w:bidiVisual/>
        <w:tblW w:w="0" w:type="auto"/>
        <w:jc w:val="right"/>
        <w:tblCellMar>
          <w:left w:w="0" w:type="dxa"/>
          <w:right w:w="0" w:type="dxa"/>
        </w:tblCellMar>
        <w:tblLook w:val="04A0" w:firstRow="1" w:lastRow="0" w:firstColumn="1" w:lastColumn="0" w:noHBand="0" w:noVBand="1"/>
      </w:tblPr>
      <w:tblGrid>
        <w:gridCol w:w="2640"/>
        <w:gridCol w:w="3088"/>
        <w:gridCol w:w="2578"/>
      </w:tblGrid>
      <w:tr>
        <w:trPr>
          <w:jc w:val="right"/>
        </w:trPr>
        <w:tc>
          <w:tcPr>
            <w:tcW w:w="2761" w:type="dxa"/>
            <w:tcMar>
              <w:top w:w="0" w:type="dxa"/>
              <w:left w:w="108" w:type="dxa"/>
              <w:bottom w:w="0" w:type="dxa"/>
              <w:right w:w="108" w:type="dxa"/>
            </w:tcMar>
            <w:hideMark/>
          </w:tcPr>
          <w:p>
            <w:pPr>
              <w:spacing w:after="0" w:line="240" w:lineRule="auto"/>
              <w:jc w:val="center"/>
              <w:rPr>
                <w:rFonts w:ascii="Arial" w:eastAsia="Times New Roman" w:hAnsi="Arial" w:cs="Arial"/>
              </w:rPr>
            </w:pPr>
            <w:bookmarkStart w:id="0" w:name="NotYoshTitle"/>
            <w:r>
              <w:rPr>
                <w:rFonts w:ascii="Tahoma" w:eastAsia="Times New Roman" w:hAnsi="Tahoma" w:cs="Tahoma"/>
                <w:rtl/>
              </w:rPr>
              <w:t>רשות מקרקעי ישראל</w:t>
            </w:r>
            <w:bookmarkEnd w:id="0"/>
          </w:p>
          <w:p>
            <w:pPr>
              <w:spacing w:after="0" w:line="240" w:lineRule="auto"/>
              <w:jc w:val="center"/>
              <w:rPr>
                <w:rFonts w:ascii="Arial" w:eastAsia="Times New Roman" w:hAnsi="Arial" w:cs="Arial"/>
                <w:rtl/>
              </w:rPr>
            </w:pPr>
            <w:r>
              <w:rPr>
                <w:rFonts w:ascii="Tahoma" w:eastAsia="Times New Roman" w:hAnsi="Tahoma" w:cs="Tahoma"/>
                <w:rtl/>
              </w:rPr>
              <w:t>מרחב עסקי ירושלים</w:t>
            </w:r>
          </w:p>
        </w:tc>
        <w:tc>
          <w:tcPr>
            <w:tcW w:w="3253" w:type="dxa"/>
            <w:tcMar>
              <w:top w:w="0" w:type="dxa"/>
              <w:left w:w="108" w:type="dxa"/>
              <w:bottom w:w="0" w:type="dxa"/>
              <w:right w:w="108" w:type="dxa"/>
            </w:tcMar>
            <w:hideMark/>
          </w:tcPr>
          <w:p>
            <w:pPr>
              <w:spacing w:after="0" w:line="240" w:lineRule="auto"/>
              <w:jc w:val="center"/>
              <w:rPr>
                <w:rFonts w:ascii="Arial" w:eastAsia="Times New Roman" w:hAnsi="Arial" w:cs="Arial"/>
                <w:rtl/>
              </w:rPr>
            </w:pPr>
            <w:bookmarkStart w:id="1" w:name="YoshTitle"/>
            <w:bookmarkEnd w:id="1"/>
            <w:r>
              <w:rPr>
                <w:rFonts w:ascii="Tahoma" w:eastAsia="Times New Roman" w:hAnsi="Tahoma" w:cs="Tahoma"/>
                <w:rtl/>
              </w:rPr>
              <w:t>משרד האוצר</w:t>
            </w:r>
          </w:p>
        </w:tc>
        <w:tc>
          <w:tcPr>
            <w:tcW w:w="2694" w:type="dxa"/>
            <w:tcMar>
              <w:top w:w="0" w:type="dxa"/>
              <w:left w:w="108" w:type="dxa"/>
              <w:bottom w:w="0" w:type="dxa"/>
              <w:right w:w="108" w:type="dxa"/>
            </w:tcMar>
            <w:hideMark/>
          </w:tcPr>
          <w:p>
            <w:pPr>
              <w:spacing w:after="0" w:line="240" w:lineRule="auto"/>
              <w:jc w:val="center"/>
              <w:rPr>
                <w:rFonts w:ascii="Arial" w:eastAsia="Times New Roman" w:hAnsi="Arial" w:cs="Arial"/>
                <w:rtl/>
              </w:rPr>
            </w:pPr>
            <w:r>
              <w:rPr>
                <w:rFonts w:ascii="Tahoma" w:eastAsia="Times New Roman" w:hAnsi="Tahoma" w:cs="Tahoma"/>
                <w:rtl/>
              </w:rPr>
              <w:t>משרד הבינוי והשיכון</w:t>
            </w:r>
          </w:p>
          <w:p>
            <w:pPr>
              <w:spacing w:after="0" w:line="240" w:lineRule="auto"/>
              <w:jc w:val="center"/>
              <w:rPr>
                <w:rFonts w:ascii="Arial" w:eastAsia="Times New Roman" w:hAnsi="Arial" w:cs="Arial"/>
                <w:rtl/>
              </w:rPr>
            </w:pPr>
            <w:r>
              <w:rPr>
                <w:rFonts w:ascii="Tahoma" w:eastAsia="Times New Roman" w:hAnsi="Tahoma" w:cs="Tahoma"/>
                <w:rtl/>
              </w:rPr>
              <w:t>אגף בכיר שיווק</w:t>
            </w:r>
          </w:p>
          <w:p>
            <w:pPr>
              <w:spacing w:after="0" w:line="240" w:lineRule="auto"/>
              <w:jc w:val="center"/>
              <w:rPr>
                <w:rFonts w:ascii="Arial" w:eastAsia="Times New Roman" w:hAnsi="Arial" w:cs="Arial"/>
                <w:rtl/>
              </w:rPr>
            </w:pPr>
            <w:r>
              <w:rPr>
                <w:rFonts w:ascii="Tahoma" w:eastAsia="Times New Roman" w:hAnsi="Tahoma" w:cs="Tahoma"/>
                <w:rtl/>
              </w:rPr>
              <w:t>מחוז ירושלים</w:t>
            </w:r>
          </w:p>
        </w:tc>
      </w:tr>
    </w:tbl>
    <w:p>
      <w:pPr>
        <w:shd w:val="clear" w:color="auto" w:fill="FFFFFF"/>
        <w:spacing w:line="238" w:lineRule="atLeast"/>
        <w:rPr>
          <w:rFonts w:ascii="Arial" w:eastAsia="Times New Roman" w:hAnsi="Arial" w:cs="Arial"/>
          <w:color w:val="000000"/>
          <w:rtl/>
        </w:rPr>
      </w:pPr>
      <w:r>
        <w:rPr>
          <w:rFonts w:ascii="Calibri" w:eastAsia="Times New Roman" w:hAnsi="Calibri" w:cs="Calibri"/>
          <w:color w:val="000000"/>
          <w:rtl/>
        </w:rPr>
        <w:t> </w:t>
      </w:r>
    </w:p>
    <w:p>
      <w:pPr>
        <w:shd w:val="clear" w:color="auto" w:fill="FFFFFF"/>
        <w:spacing w:line="281" w:lineRule="atLeast"/>
        <w:jc w:val="center"/>
        <w:rPr>
          <w:rFonts w:ascii="Arial" w:eastAsia="Times New Roman" w:hAnsi="Arial" w:cs="Arial"/>
          <w:color w:val="000000"/>
          <w:sz w:val="26"/>
          <w:szCs w:val="26"/>
          <w:rtl/>
        </w:rPr>
      </w:pPr>
      <w:bookmarkStart w:id="2" w:name="HagashaMekuvenetText"/>
      <w:bookmarkEnd w:id="2"/>
      <w:r>
        <w:rPr>
          <w:rFonts w:ascii="Arial" w:eastAsia="Times New Roman" w:hAnsi="Arial" w:cs="Arial"/>
          <w:b/>
          <w:bCs/>
          <w:color w:val="000000"/>
          <w:sz w:val="26"/>
          <w:szCs w:val="26"/>
          <w:u w:val="single"/>
          <w:rtl/>
        </w:rPr>
        <w:t>דחיית מועדים</w:t>
      </w:r>
    </w:p>
    <w:p>
      <w:pPr>
        <w:shd w:val="clear" w:color="auto" w:fill="FFFFFF"/>
        <w:spacing w:line="302" w:lineRule="atLeast"/>
        <w:jc w:val="center"/>
        <w:rPr>
          <w:rFonts w:ascii="Arial" w:eastAsia="Times New Roman" w:hAnsi="Arial" w:cs="Arial"/>
          <w:color w:val="000000"/>
          <w:sz w:val="28"/>
          <w:szCs w:val="28"/>
          <w:rtl/>
        </w:rPr>
      </w:pPr>
      <w:r>
        <w:rPr>
          <w:rFonts w:ascii="Tahoma" w:eastAsia="Times New Roman" w:hAnsi="Tahoma" w:cs="Tahoma"/>
          <w:b/>
          <w:bCs/>
          <w:color w:val="000000"/>
          <w:sz w:val="28"/>
          <w:szCs w:val="28"/>
          <w:rtl/>
        </w:rPr>
        <w:t>הודעה על מכרז "מחיר למשתכן" בבית שמש</w:t>
      </w:r>
    </w:p>
    <w:p>
      <w:pPr>
        <w:shd w:val="clear" w:color="auto" w:fill="FFFFFF"/>
        <w:spacing w:before="280" w:after="280" w:line="240" w:lineRule="auto"/>
        <w:jc w:val="center"/>
        <w:rPr>
          <w:rFonts w:ascii="Arial" w:eastAsia="Times New Roman" w:hAnsi="Arial" w:cs="Arial"/>
          <w:color w:val="000000"/>
          <w:sz w:val="48"/>
          <w:szCs w:val="48"/>
          <w:rtl/>
        </w:rPr>
      </w:pPr>
      <w:bookmarkStart w:id="3" w:name="MishtaperTitle"/>
      <w:bookmarkEnd w:id="3"/>
      <w:r>
        <w:rPr>
          <w:rFonts w:ascii="Tahoma" w:eastAsia="Times New Roman" w:hAnsi="Tahoma" w:cs="Tahoma"/>
          <w:b/>
          <w:bCs/>
          <w:color w:val="000000"/>
          <w:sz w:val="24"/>
          <w:szCs w:val="24"/>
          <w:rtl/>
        </w:rPr>
        <w:t>הזמנה לקבלת הצעות במכרז פומבי</w:t>
      </w:r>
    </w:p>
    <w:p>
      <w:pPr>
        <w:shd w:val="clear" w:color="auto" w:fill="FFFFFF"/>
        <w:spacing w:before="280" w:after="280" w:line="240" w:lineRule="auto"/>
        <w:jc w:val="center"/>
        <w:rPr>
          <w:rFonts w:ascii="Arial" w:eastAsia="Times New Roman" w:hAnsi="Arial" w:cs="Arial"/>
          <w:color w:val="000000"/>
          <w:sz w:val="48"/>
          <w:szCs w:val="48"/>
          <w:rtl/>
        </w:rPr>
      </w:pPr>
      <w:r>
        <w:rPr>
          <w:rFonts w:ascii="Tahoma" w:eastAsia="Times New Roman" w:hAnsi="Tahoma" w:cs="Tahoma"/>
          <w:b/>
          <w:bCs/>
          <w:color w:val="000000"/>
          <w:sz w:val="24"/>
          <w:szCs w:val="24"/>
          <w:rtl/>
        </w:rPr>
        <w:t>לרכישת זכויות חכירה</w:t>
      </w:r>
    </w:p>
    <w:p>
      <w:pPr>
        <w:shd w:val="clear" w:color="auto" w:fill="FFFFFF"/>
        <w:spacing w:before="280" w:after="280" w:line="240" w:lineRule="auto"/>
        <w:jc w:val="center"/>
        <w:rPr>
          <w:rFonts w:ascii="Arial" w:eastAsia="Times New Roman" w:hAnsi="Arial" w:cs="Arial"/>
          <w:color w:val="000000"/>
          <w:sz w:val="48"/>
          <w:szCs w:val="48"/>
          <w:rtl/>
        </w:rPr>
      </w:pPr>
      <w:bookmarkStart w:id="4" w:name="SumYechidotDiyur"/>
      <w:r>
        <w:rPr>
          <w:rFonts w:ascii="Tahoma" w:eastAsia="Times New Roman" w:hAnsi="Tahoma" w:cs="Tahoma"/>
          <w:b/>
          <w:bCs/>
          <w:color w:val="000000"/>
          <w:sz w:val="24"/>
          <w:szCs w:val="24"/>
          <w:rtl/>
        </w:rPr>
        <w:t>לבניית 230 יח"ד</w:t>
      </w:r>
      <w:bookmarkEnd w:id="4"/>
      <w:r>
        <w:rPr>
          <w:rFonts w:ascii="Tahoma" w:eastAsia="Times New Roman" w:hAnsi="Tahoma" w:cs="Tahoma"/>
          <w:b/>
          <w:bCs/>
          <w:color w:val="000000"/>
          <w:sz w:val="24"/>
          <w:szCs w:val="24"/>
          <w:rtl/>
        </w:rPr>
        <w:t> ב 5 מתחמים</w:t>
      </w:r>
    </w:p>
    <w:p>
      <w:pPr>
        <w:shd w:val="clear" w:color="auto" w:fill="FFFFFF"/>
        <w:spacing w:before="280" w:after="280" w:line="240" w:lineRule="auto"/>
        <w:jc w:val="center"/>
        <w:rPr>
          <w:rFonts w:ascii="Arial" w:eastAsia="Times New Roman" w:hAnsi="Arial" w:cs="Arial"/>
          <w:color w:val="000000"/>
          <w:sz w:val="48"/>
          <w:szCs w:val="48"/>
          <w:rtl/>
        </w:rPr>
      </w:pPr>
      <w:r>
        <w:rPr>
          <w:rFonts w:ascii="Tahoma" w:eastAsia="Times New Roman" w:hAnsi="Tahoma" w:cs="Tahoma"/>
          <w:b/>
          <w:bCs/>
          <w:color w:val="000000"/>
          <w:sz w:val="24"/>
          <w:szCs w:val="24"/>
          <w:rtl/>
        </w:rPr>
        <w:t>בבניה רוויה בשכונת נוה שמיר, ברמת בית שמש - בבית שמש</w:t>
      </w:r>
    </w:p>
    <w:p>
      <w:pPr>
        <w:shd w:val="clear" w:color="auto" w:fill="FFFFFF"/>
        <w:spacing w:before="280" w:after="280" w:line="240" w:lineRule="auto"/>
        <w:jc w:val="center"/>
        <w:rPr>
          <w:rFonts w:ascii="Arial" w:eastAsia="Times New Roman" w:hAnsi="Arial" w:cs="Arial"/>
          <w:color w:val="000000"/>
          <w:rtl/>
        </w:rPr>
      </w:pPr>
      <w:r>
        <w:rPr>
          <w:rFonts w:ascii="Tahoma" w:eastAsia="Times New Roman" w:hAnsi="Tahoma" w:cs="Tahoma"/>
          <w:b/>
          <w:bCs/>
          <w:color w:val="000000"/>
          <w:u w:val="single"/>
          <w:rtl/>
        </w:rPr>
        <w:t>מכרז מספר ים/434/2019</w:t>
      </w:r>
    </w:p>
    <w:p>
      <w:pPr>
        <w:shd w:val="clear" w:color="auto" w:fill="FFFFFF"/>
        <w:spacing w:before="280" w:after="280" w:line="240" w:lineRule="auto"/>
        <w:rPr>
          <w:rFonts w:ascii="Arial" w:eastAsia="Times New Roman" w:hAnsi="Arial" w:cs="Arial"/>
          <w:color w:val="000000"/>
          <w:rtl/>
        </w:rPr>
      </w:pPr>
      <w:bookmarkStart w:id="5" w:name="NotYoshBody"/>
      <w:r>
        <w:rPr>
          <w:rFonts w:ascii="Tahoma" w:eastAsia="Times New Roman" w:hAnsi="Tahoma" w:cs="Tahoma"/>
          <w:color w:val="000000"/>
          <w:rtl/>
        </w:rPr>
        <w:t>רשות מקרקעי ישראל ומשרד הבינוי והשיכון מודיעים בזאת על דחיית מועדים כמפורט להלן:</w:t>
      </w:r>
      <w:bookmarkEnd w:id="5"/>
    </w:p>
    <w:p>
      <w:pPr>
        <w:shd w:val="clear" w:color="auto" w:fill="FFFFFF"/>
        <w:spacing w:before="280" w:after="280" w:line="240" w:lineRule="auto"/>
        <w:rPr>
          <w:rFonts w:ascii="Arial" w:eastAsia="Times New Roman" w:hAnsi="Arial" w:cs="Arial"/>
          <w:color w:val="000000"/>
          <w:rtl/>
        </w:rPr>
      </w:pPr>
      <w:bookmarkStart w:id="6" w:name="YoshBody"/>
      <w:bookmarkEnd w:id="6"/>
      <w:r>
        <w:rPr>
          <w:rFonts w:ascii="Tahoma" w:eastAsia="Times New Roman" w:hAnsi="Tahoma" w:cs="Tahoma"/>
          <w:color w:val="000000"/>
          <w:rtl/>
        </w:rPr>
        <w:t>את חוברת המכרז ניתן להוריד מאתר הרשות החל מתאריך 16/07/2020.</w:t>
      </w:r>
    </w:p>
    <w:p>
      <w:pPr>
        <w:shd w:val="clear" w:color="auto" w:fill="FFFFFF"/>
        <w:spacing w:before="280" w:after="280" w:line="240" w:lineRule="auto"/>
        <w:rPr>
          <w:rFonts w:ascii="Arial" w:eastAsia="Times New Roman" w:hAnsi="Arial" w:cs="Arial"/>
          <w:color w:val="000000"/>
          <w:rtl/>
        </w:rPr>
      </w:pPr>
      <w:r>
        <w:rPr>
          <w:rFonts w:ascii="Tahoma" w:eastAsia="Times New Roman" w:hAnsi="Tahoma" w:cs="Tahoma"/>
          <w:color w:val="000000"/>
          <w:rtl/>
        </w:rPr>
        <w:t>המועד האחרון להגשת ההצעות הינו עד לתאריך 17/08/2020 בשעה 12:00 בצהריים  בדיוק.</w:t>
      </w:r>
    </w:p>
    <w:p>
      <w:pPr>
        <w:shd w:val="clear" w:color="auto" w:fill="FFFFFF"/>
        <w:spacing w:line="238" w:lineRule="atLeast"/>
        <w:rPr>
          <w:rFonts w:ascii="Arial" w:eastAsia="Times New Roman" w:hAnsi="Arial" w:cs="Arial"/>
          <w:color w:val="000000"/>
          <w:rtl/>
        </w:rPr>
      </w:pPr>
      <w:r>
        <w:rPr>
          <w:rFonts w:ascii="Tahoma" w:eastAsia="Times New Roman" w:hAnsi="Tahoma" w:cs="Tahoma"/>
          <w:color w:val="000000"/>
          <w:rtl/>
        </w:rPr>
        <w:t> </w:t>
      </w:r>
    </w:p>
    <w:p>
      <w:pPr>
        <w:shd w:val="clear" w:color="auto" w:fill="FFFFFF"/>
        <w:spacing w:line="238" w:lineRule="atLeast"/>
        <w:rPr>
          <w:rFonts w:ascii="Arial" w:eastAsia="Times New Roman" w:hAnsi="Arial" w:cs="Arial"/>
          <w:color w:val="000000"/>
          <w:rtl/>
        </w:rPr>
      </w:pPr>
      <w:r>
        <w:rPr>
          <w:rFonts w:ascii="Calibri" w:eastAsia="Times New Roman" w:hAnsi="Calibri" w:cs="Calibri"/>
          <w:color w:val="000000"/>
        </w:rPr>
        <w:t> </w:t>
      </w:r>
    </w:p>
    <w:p>
      <w:pPr>
        <w:shd w:val="clear" w:color="auto" w:fill="FFFFFF"/>
        <w:bidi w:val="0"/>
        <w:spacing w:after="0" w:line="240" w:lineRule="auto"/>
        <w:rPr>
          <w:rFonts w:ascii="Arial" w:eastAsia="Times New Roman" w:hAnsi="Arial" w:cs="Arial"/>
          <w:color w:val="000000"/>
          <w:sz w:val="24"/>
          <w:szCs w:val="24"/>
          <w:rtl/>
        </w:rPr>
      </w:pPr>
      <w:bookmarkStart w:id="7" w:name="_GoBack"/>
      <w:bookmarkEnd w:id="7"/>
      <w:r>
        <w:rPr>
          <w:rFonts w:ascii="Times New Roman" w:eastAsia="Times New Roman" w:hAnsi="Times New Roman" w:cs="Times New Roman"/>
          <w:color w:val="000000"/>
          <w:sz w:val="24"/>
          <w:szCs w:val="24"/>
        </w:rPr>
        <w:t> </w:t>
      </w:r>
    </w:p>
    <w:p>
      <w:pPr>
        <w:shd w:val="clear" w:color="auto" w:fill="FFFFFF"/>
        <w:spacing w:after="240" w:line="240" w:lineRule="auto"/>
        <w:rPr>
          <w:rFonts w:ascii="Arial" w:eastAsia="Times New Roman" w:hAnsi="Arial" w:cs="Arial"/>
          <w:color w:val="000000"/>
          <w:sz w:val="24"/>
          <w:szCs w:val="24"/>
        </w:rPr>
      </w:pPr>
      <w:r>
        <w:rPr>
          <w:rFonts w:ascii="Times New Roman" w:eastAsia="Times New Roman" w:hAnsi="Times New Roman" w:cs="Times New Roman"/>
          <w:color w:val="000000"/>
          <w:sz w:val="24"/>
          <w:szCs w:val="24"/>
          <w:rtl/>
        </w:rPr>
        <w:t>*** עדכון מתאריך 06/04/2020 ***</w:t>
      </w:r>
    </w:p>
    <w:p>
      <w:pPr>
        <w:shd w:val="clear" w:color="auto" w:fill="FFFFFF"/>
        <w:bidi w:val="0"/>
        <w:spacing w:after="0" w:line="240" w:lineRule="auto"/>
        <w:rPr>
          <w:rFonts w:ascii="Arial" w:eastAsia="Times New Roman" w:hAnsi="Arial" w:cs="Arial"/>
          <w:color w:val="000000"/>
        </w:rPr>
      </w:pPr>
      <w:r>
        <w:rPr>
          <w:rFonts w:ascii="Arial" w:eastAsia="Times New Roman" w:hAnsi="Arial" w:cs="Arial"/>
          <w:color w:val="000000"/>
          <w:sz w:val="24"/>
          <w:szCs w:val="24"/>
        </w:rPr>
        <w:br/>
      </w:r>
      <w:r>
        <w:rPr>
          <w:rFonts w:ascii="Times New Roman" w:eastAsia="Times New Roman" w:hAnsi="Times New Roman" w:cs="Times New Roman"/>
          <w:color w:val="000000"/>
          <w:sz w:val="24"/>
          <w:szCs w:val="24"/>
        </w:rPr>
        <w:t> </w:t>
      </w:r>
    </w:p>
    <w:p>
      <w:pPr>
        <w:shd w:val="clear" w:color="auto" w:fill="FFFFFF"/>
        <w:spacing w:line="238" w:lineRule="atLeast"/>
        <w:rPr>
          <w:rFonts w:ascii="Arial" w:eastAsia="Times New Roman" w:hAnsi="Arial" w:cs="Arial"/>
          <w:color w:val="000000"/>
          <w:rtl/>
        </w:rPr>
      </w:pPr>
      <w:r>
        <w:rPr>
          <w:rFonts w:ascii="Tahoma" w:eastAsia="Times New Roman" w:hAnsi="Tahoma" w:cs="Tahoma"/>
          <w:color w:val="000000"/>
          <w:rtl/>
        </w:rPr>
        <w:t> </w:t>
      </w:r>
    </w:p>
    <w:p>
      <w:pPr>
        <w:shd w:val="clear" w:color="auto" w:fill="FFFFFF"/>
        <w:spacing w:line="238" w:lineRule="atLeast"/>
        <w:rPr>
          <w:rFonts w:ascii="Arial" w:eastAsia="Times New Roman" w:hAnsi="Arial" w:cs="Arial"/>
          <w:color w:val="000000"/>
          <w:rtl/>
        </w:rPr>
      </w:pPr>
      <w:r>
        <w:rPr>
          <w:rFonts w:ascii="Calibri" w:eastAsia="Times New Roman" w:hAnsi="Calibri" w:cs="Calibri"/>
          <w:color w:val="000000"/>
        </w:rPr>
        <w:t> </w:t>
      </w:r>
    </w:p>
    <w:p>
      <w:pPr>
        <w:shd w:val="clear" w:color="auto" w:fill="FFFFFF"/>
        <w:bidi w:val="0"/>
        <w:spacing w:after="0" w:line="240" w:lineRule="auto"/>
        <w:rPr>
          <w:rFonts w:ascii="Arial" w:eastAsia="Times New Roman" w:hAnsi="Arial" w:cs="Arial"/>
          <w:color w:val="000000"/>
          <w:sz w:val="24"/>
          <w:szCs w:val="24"/>
          <w:rtl/>
        </w:rPr>
      </w:pPr>
      <w:r>
        <w:rPr>
          <w:rFonts w:ascii="Arial" w:eastAsia="Times New Roman" w:hAnsi="Arial" w:cs="Arial"/>
          <w:color w:val="000000"/>
          <w:sz w:val="24"/>
          <w:szCs w:val="24"/>
        </w:rPr>
        <w:br/>
      </w:r>
      <w:r>
        <w:rPr>
          <w:rFonts w:ascii="Arial" w:eastAsia="Times New Roman" w:hAnsi="Arial" w:cs="Arial"/>
          <w:color w:val="000000"/>
          <w:sz w:val="24"/>
          <w:szCs w:val="24"/>
          <w:rtl/>
        </w:rPr>
        <w:br/>
      </w:r>
      <w:r>
        <w:rPr>
          <w:rFonts w:ascii="Times New Roman" w:eastAsia="Times New Roman" w:hAnsi="Times New Roman" w:cs="Times New Roman"/>
          <w:color w:val="000000"/>
          <w:sz w:val="20"/>
          <w:szCs w:val="20"/>
          <w:rtl/>
        </w:rPr>
        <w:t> </w:t>
      </w:r>
    </w:p>
    <w:tbl>
      <w:tblPr>
        <w:bidiVisual/>
        <w:tblW w:w="0" w:type="auto"/>
        <w:jc w:val="right"/>
        <w:tblCellMar>
          <w:left w:w="0" w:type="dxa"/>
          <w:right w:w="0" w:type="dxa"/>
        </w:tblCellMar>
        <w:tblLook w:val="04A0" w:firstRow="1" w:lastRow="0" w:firstColumn="1" w:lastColumn="0" w:noHBand="0" w:noVBand="1"/>
      </w:tblPr>
      <w:tblGrid>
        <w:gridCol w:w="2796"/>
        <w:gridCol w:w="2709"/>
        <w:gridCol w:w="2801"/>
      </w:tblGrid>
      <w:tr>
        <w:trPr>
          <w:jc w:val="right"/>
        </w:trPr>
        <w:tc>
          <w:tcPr>
            <w:tcW w:w="2993" w:type="dxa"/>
            <w:tcMar>
              <w:top w:w="0" w:type="dxa"/>
              <w:left w:w="108" w:type="dxa"/>
              <w:bottom w:w="0" w:type="dxa"/>
              <w:right w:w="108" w:type="dxa"/>
            </w:tcMar>
            <w:hideMark/>
          </w:tcPr>
          <w:p>
            <w:pPr>
              <w:spacing w:after="0" w:line="240" w:lineRule="auto"/>
              <w:jc w:val="center"/>
              <w:rPr>
                <w:rFonts w:ascii="Arial" w:eastAsia="Times New Roman" w:hAnsi="Arial" w:cs="Arial"/>
                <w:rtl/>
              </w:rPr>
            </w:pPr>
            <w:bookmarkStart w:id="8" w:name="NotYoshTitle_3"/>
            <w:r>
              <w:rPr>
                <w:rFonts w:ascii="Tahoma" w:eastAsia="Times New Roman" w:hAnsi="Tahoma" w:cs="Tahoma"/>
                <w:sz w:val="20"/>
                <w:szCs w:val="20"/>
                <w:rtl/>
              </w:rPr>
              <w:t>רשות מקרקעי ישראל</w:t>
            </w:r>
            <w:bookmarkEnd w:id="8"/>
          </w:p>
          <w:p>
            <w:pPr>
              <w:spacing w:after="0" w:line="240" w:lineRule="auto"/>
              <w:jc w:val="center"/>
              <w:rPr>
                <w:rFonts w:ascii="Arial" w:eastAsia="Times New Roman" w:hAnsi="Arial" w:cs="Arial"/>
                <w:rtl/>
              </w:rPr>
            </w:pPr>
            <w:r>
              <w:rPr>
                <w:rFonts w:ascii="Tahoma" w:eastAsia="Times New Roman" w:hAnsi="Tahoma" w:cs="Tahoma"/>
                <w:sz w:val="20"/>
                <w:szCs w:val="20"/>
                <w:rtl/>
              </w:rPr>
              <w:t>מרחב עסקי ירושלים</w:t>
            </w:r>
          </w:p>
          <w:p>
            <w:pPr>
              <w:spacing w:after="0" w:line="240" w:lineRule="auto"/>
              <w:jc w:val="center"/>
              <w:rPr>
                <w:rFonts w:ascii="Arial" w:eastAsia="Times New Roman" w:hAnsi="Arial" w:cs="Arial"/>
                <w:rtl/>
              </w:rPr>
            </w:pPr>
            <w:r>
              <w:rPr>
                <w:rFonts w:ascii="Calibri" w:eastAsia="Times New Roman" w:hAnsi="Calibri" w:cs="Calibri"/>
                <w:rtl/>
              </w:rPr>
              <w:t> </w:t>
            </w:r>
          </w:p>
        </w:tc>
        <w:tc>
          <w:tcPr>
            <w:tcW w:w="2993" w:type="dxa"/>
            <w:tcMar>
              <w:top w:w="0" w:type="dxa"/>
              <w:left w:w="108" w:type="dxa"/>
              <w:bottom w:w="0" w:type="dxa"/>
              <w:right w:w="108" w:type="dxa"/>
            </w:tcMar>
            <w:hideMark/>
          </w:tcPr>
          <w:p>
            <w:pPr>
              <w:spacing w:after="0" w:line="240" w:lineRule="auto"/>
              <w:jc w:val="center"/>
              <w:rPr>
                <w:rFonts w:ascii="Arial" w:eastAsia="Times New Roman" w:hAnsi="Arial" w:cs="Arial"/>
                <w:rtl/>
              </w:rPr>
            </w:pPr>
            <w:r>
              <w:rPr>
                <w:rFonts w:ascii="Tahoma" w:eastAsia="Times New Roman" w:hAnsi="Tahoma" w:cs="Tahoma"/>
                <w:sz w:val="20"/>
                <w:szCs w:val="20"/>
                <w:rtl/>
              </w:rPr>
              <w:t>משרד האוצר</w:t>
            </w:r>
          </w:p>
        </w:tc>
        <w:tc>
          <w:tcPr>
            <w:tcW w:w="2994" w:type="dxa"/>
            <w:tcMar>
              <w:top w:w="0" w:type="dxa"/>
              <w:left w:w="108" w:type="dxa"/>
              <w:bottom w:w="0" w:type="dxa"/>
              <w:right w:w="108" w:type="dxa"/>
            </w:tcMar>
            <w:hideMark/>
          </w:tcPr>
          <w:p>
            <w:pPr>
              <w:spacing w:after="0" w:line="240" w:lineRule="auto"/>
              <w:jc w:val="center"/>
              <w:rPr>
                <w:rFonts w:ascii="Arial" w:eastAsia="Times New Roman" w:hAnsi="Arial" w:cs="Arial"/>
                <w:rtl/>
              </w:rPr>
            </w:pPr>
            <w:r>
              <w:rPr>
                <w:rFonts w:ascii="Tahoma" w:eastAsia="Times New Roman" w:hAnsi="Tahoma" w:cs="Tahoma"/>
                <w:sz w:val="20"/>
                <w:szCs w:val="20"/>
                <w:rtl/>
              </w:rPr>
              <w:t>משרד הבינוי והשיכון</w:t>
            </w:r>
          </w:p>
          <w:p>
            <w:pPr>
              <w:spacing w:after="0" w:line="240" w:lineRule="auto"/>
              <w:jc w:val="center"/>
              <w:rPr>
                <w:rFonts w:ascii="Arial" w:eastAsia="Times New Roman" w:hAnsi="Arial" w:cs="Arial"/>
                <w:rtl/>
              </w:rPr>
            </w:pPr>
            <w:r>
              <w:rPr>
                <w:rFonts w:ascii="Tahoma" w:eastAsia="Times New Roman" w:hAnsi="Tahoma" w:cs="Tahoma"/>
                <w:rtl/>
              </w:rPr>
              <w:t>אגף בכיר שיווק</w:t>
            </w:r>
          </w:p>
          <w:p>
            <w:pPr>
              <w:spacing w:after="0" w:line="240" w:lineRule="auto"/>
              <w:jc w:val="center"/>
              <w:rPr>
                <w:rFonts w:ascii="Arial" w:eastAsia="Times New Roman" w:hAnsi="Arial" w:cs="Arial"/>
                <w:rtl/>
              </w:rPr>
            </w:pPr>
            <w:r>
              <w:rPr>
                <w:rFonts w:ascii="Tahoma" w:eastAsia="Times New Roman" w:hAnsi="Tahoma" w:cs="Tahoma"/>
                <w:rtl/>
              </w:rPr>
              <w:t>מחוז ירושלים</w:t>
            </w:r>
          </w:p>
        </w:tc>
      </w:tr>
    </w:tbl>
    <w:p>
      <w:pPr>
        <w:shd w:val="clear" w:color="auto" w:fill="FFFFFF"/>
        <w:spacing w:after="0" w:line="240" w:lineRule="auto"/>
        <w:jc w:val="both"/>
        <w:rPr>
          <w:rFonts w:ascii="Arial" w:eastAsia="Times New Roman" w:hAnsi="Arial" w:cs="Arial"/>
          <w:color w:val="000000"/>
          <w:sz w:val="20"/>
          <w:szCs w:val="20"/>
          <w:rtl/>
        </w:rPr>
      </w:pPr>
      <w:r>
        <w:rPr>
          <w:rFonts w:ascii="Tahoma" w:eastAsia="Times New Roman" w:hAnsi="Tahoma" w:cs="Tahoma"/>
          <w:color w:val="000000"/>
          <w:sz w:val="24"/>
          <w:szCs w:val="24"/>
          <w:rtl/>
        </w:rPr>
        <w:t> </w:t>
      </w:r>
    </w:p>
    <w:tbl>
      <w:tblPr>
        <w:bidiVisual/>
        <w:tblW w:w="0" w:type="auto"/>
        <w:jc w:val="right"/>
        <w:tblCellMar>
          <w:left w:w="0" w:type="dxa"/>
          <w:right w:w="0" w:type="dxa"/>
        </w:tblCellMar>
        <w:tblLook w:val="04A0" w:firstRow="1" w:lastRow="0" w:firstColumn="1" w:lastColumn="0" w:noHBand="0" w:noVBand="1"/>
      </w:tblPr>
      <w:tblGrid>
        <w:gridCol w:w="2993"/>
      </w:tblGrid>
      <w:tr>
        <w:trPr>
          <w:jc w:val="right"/>
        </w:trPr>
        <w:tc>
          <w:tcPr>
            <w:tcW w:w="2993" w:type="dxa"/>
            <w:tcMar>
              <w:top w:w="0" w:type="dxa"/>
              <w:left w:w="108" w:type="dxa"/>
              <w:bottom w:w="0" w:type="dxa"/>
              <w:right w:w="108" w:type="dxa"/>
            </w:tcMar>
            <w:hideMark/>
          </w:tcPr>
          <w:p>
            <w:pPr>
              <w:spacing w:after="0" w:line="240" w:lineRule="auto"/>
              <w:jc w:val="center"/>
              <w:rPr>
                <w:rFonts w:ascii="Arial" w:eastAsia="Times New Roman" w:hAnsi="Arial" w:cs="Arial"/>
                <w:rtl/>
              </w:rPr>
            </w:pPr>
            <w:bookmarkStart w:id="9" w:name="YoshTitle_3"/>
            <w:r>
              <w:rPr>
                <w:rFonts w:ascii="Tahoma" w:eastAsia="Times New Roman" w:hAnsi="Tahoma" w:cs="Tahoma"/>
                <w:rtl/>
              </w:rPr>
              <w:t> </w:t>
            </w:r>
            <w:bookmarkEnd w:id="9"/>
          </w:p>
        </w:tc>
      </w:tr>
    </w:tbl>
    <w:p>
      <w:pPr>
        <w:shd w:val="clear" w:color="auto" w:fill="FFFFFF"/>
        <w:spacing w:after="0" w:line="240" w:lineRule="auto"/>
        <w:jc w:val="center"/>
        <w:rPr>
          <w:rFonts w:ascii="Arial" w:eastAsia="Times New Roman" w:hAnsi="Arial" w:cs="Arial"/>
          <w:color w:val="000000"/>
          <w:sz w:val="20"/>
          <w:szCs w:val="20"/>
          <w:rtl/>
        </w:rPr>
      </w:pPr>
      <w:bookmarkStart w:id="10" w:name="HagashaMekuvenetText_3"/>
      <w:bookmarkEnd w:id="10"/>
      <w:r>
        <w:rPr>
          <w:rFonts w:ascii="Times New Roman" w:eastAsia="Times New Roman" w:hAnsi="Times New Roman" w:cs="Times New Roman"/>
          <w:color w:val="000000"/>
          <w:sz w:val="20"/>
          <w:szCs w:val="20"/>
          <w:rtl/>
        </w:rPr>
        <w:t> </w:t>
      </w:r>
    </w:p>
    <w:p>
      <w:pPr>
        <w:shd w:val="clear" w:color="auto" w:fill="FFFFFF"/>
        <w:spacing w:after="0" w:line="240" w:lineRule="auto"/>
        <w:jc w:val="center"/>
        <w:rPr>
          <w:rFonts w:ascii="Arial" w:eastAsia="Times New Roman" w:hAnsi="Arial" w:cs="Arial"/>
          <w:color w:val="000000"/>
          <w:sz w:val="28"/>
          <w:szCs w:val="28"/>
          <w:rtl/>
        </w:rPr>
      </w:pPr>
      <w:r>
        <w:rPr>
          <w:rFonts w:ascii="Tahoma" w:eastAsia="Times New Roman" w:hAnsi="Tahoma" w:cs="Tahoma"/>
          <w:b/>
          <w:bCs/>
          <w:color w:val="000000"/>
          <w:sz w:val="28"/>
          <w:szCs w:val="28"/>
          <w:rtl/>
        </w:rPr>
        <w:t> </w:t>
      </w:r>
    </w:p>
    <w:p>
      <w:pPr>
        <w:shd w:val="clear" w:color="auto" w:fill="FFFFFF"/>
        <w:spacing w:after="0" w:line="240" w:lineRule="auto"/>
        <w:jc w:val="center"/>
        <w:rPr>
          <w:rFonts w:ascii="Arial" w:eastAsia="Times New Roman" w:hAnsi="Arial" w:cs="Arial"/>
          <w:color w:val="000000"/>
          <w:sz w:val="28"/>
          <w:szCs w:val="28"/>
          <w:rtl/>
        </w:rPr>
      </w:pPr>
      <w:r>
        <w:rPr>
          <w:rFonts w:ascii="Tahoma" w:eastAsia="Times New Roman" w:hAnsi="Tahoma" w:cs="Tahoma"/>
          <w:b/>
          <w:bCs/>
          <w:color w:val="000000"/>
          <w:sz w:val="28"/>
          <w:szCs w:val="28"/>
          <w:rtl/>
        </w:rPr>
        <w:t>הודעה על מכרז "מחיר למשתכן" בבית שמש</w:t>
      </w:r>
    </w:p>
    <w:p>
      <w:pPr>
        <w:shd w:val="clear" w:color="auto" w:fill="FFFFFF"/>
        <w:spacing w:after="0" w:line="240" w:lineRule="auto"/>
        <w:jc w:val="center"/>
        <w:rPr>
          <w:rFonts w:ascii="Arial" w:eastAsia="Times New Roman" w:hAnsi="Arial" w:cs="Arial"/>
          <w:color w:val="000000"/>
          <w:sz w:val="28"/>
          <w:szCs w:val="28"/>
          <w:rtl/>
        </w:rPr>
      </w:pPr>
      <w:bookmarkStart w:id="11" w:name="MishtaperTitle_3"/>
      <w:bookmarkEnd w:id="11"/>
      <w:r>
        <w:rPr>
          <w:rFonts w:ascii="Tahoma" w:eastAsia="Times New Roman" w:hAnsi="Tahoma" w:cs="Tahoma"/>
          <w:b/>
          <w:bCs/>
          <w:color w:val="000000"/>
          <w:sz w:val="28"/>
          <w:szCs w:val="28"/>
        </w:rPr>
        <w:t> </w:t>
      </w:r>
    </w:p>
    <w:p>
      <w:pPr>
        <w:shd w:val="clear" w:color="auto" w:fill="FFFFFF"/>
        <w:spacing w:after="0" w:line="240" w:lineRule="auto"/>
        <w:jc w:val="center"/>
        <w:rPr>
          <w:rFonts w:ascii="Arial" w:eastAsia="Times New Roman" w:hAnsi="Arial" w:cs="Arial"/>
          <w:color w:val="000000"/>
          <w:sz w:val="20"/>
          <w:szCs w:val="20"/>
          <w:rtl/>
        </w:rPr>
      </w:pPr>
      <w:r>
        <w:rPr>
          <w:rFonts w:ascii="Tahoma" w:eastAsia="Times New Roman" w:hAnsi="Tahoma" w:cs="Tahoma"/>
          <w:b/>
          <w:bCs/>
          <w:color w:val="000000"/>
          <w:sz w:val="24"/>
          <w:szCs w:val="24"/>
          <w:rtl/>
        </w:rPr>
        <w:lastRenderedPageBreak/>
        <w:t>הזמנה לקבלת הצעות במכרז פומבי</w:t>
      </w:r>
    </w:p>
    <w:p>
      <w:pPr>
        <w:shd w:val="clear" w:color="auto" w:fill="FFFFFF"/>
        <w:spacing w:after="0" w:line="240" w:lineRule="auto"/>
        <w:jc w:val="center"/>
        <w:rPr>
          <w:rFonts w:ascii="Arial" w:eastAsia="Times New Roman" w:hAnsi="Arial" w:cs="Arial"/>
          <w:color w:val="000000"/>
          <w:sz w:val="20"/>
          <w:szCs w:val="20"/>
          <w:rtl/>
        </w:rPr>
      </w:pPr>
      <w:r>
        <w:rPr>
          <w:rFonts w:ascii="Tahoma" w:eastAsia="Times New Roman" w:hAnsi="Tahoma" w:cs="Tahoma"/>
          <w:b/>
          <w:bCs/>
          <w:color w:val="000000"/>
          <w:sz w:val="24"/>
          <w:szCs w:val="24"/>
          <w:rtl/>
        </w:rPr>
        <w:t>לרכישת זכויות חכירה</w:t>
      </w:r>
    </w:p>
    <w:p>
      <w:pPr>
        <w:shd w:val="clear" w:color="auto" w:fill="FFFFFF"/>
        <w:spacing w:after="0" w:line="240" w:lineRule="auto"/>
        <w:jc w:val="center"/>
        <w:rPr>
          <w:rFonts w:ascii="Arial" w:eastAsia="Times New Roman" w:hAnsi="Arial" w:cs="Arial"/>
          <w:color w:val="000000"/>
          <w:sz w:val="20"/>
          <w:szCs w:val="20"/>
          <w:rtl/>
        </w:rPr>
      </w:pPr>
      <w:bookmarkStart w:id="12" w:name="SumYechidotDiyur_3"/>
      <w:r>
        <w:rPr>
          <w:rFonts w:ascii="Tahoma" w:eastAsia="Times New Roman" w:hAnsi="Tahoma" w:cs="Tahoma"/>
          <w:b/>
          <w:bCs/>
          <w:color w:val="000000"/>
          <w:sz w:val="24"/>
          <w:szCs w:val="24"/>
          <w:rtl/>
        </w:rPr>
        <w:t>לבניית 230 יח"ד</w:t>
      </w:r>
      <w:bookmarkEnd w:id="12"/>
      <w:r>
        <w:rPr>
          <w:rFonts w:ascii="Tahoma" w:eastAsia="Times New Roman" w:hAnsi="Tahoma" w:cs="Tahoma"/>
          <w:b/>
          <w:bCs/>
          <w:color w:val="000000"/>
          <w:sz w:val="24"/>
          <w:szCs w:val="24"/>
          <w:rtl/>
        </w:rPr>
        <w:t> ב 5 מתחמים</w:t>
      </w:r>
    </w:p>
    <w:p>
      <w:pPr>
        <w:shd w:val="clear" w:color="auto" w:fill="FFFFFF"/>
        <w:spacing w:after="0" w:line="240" w:lineRule="auto"/>
        <w:jc w:val="center"/>
        <w:rPr>
          <w:rFonts w:ascii="Arial" w:eastAsia="Times New Roman" w:hAnsi="Arial" w:cs="Arial"/>
          <w:color w:val="000000"/>
          <w:sz w:val="20"/>
          <w:szCs w:val="20"/>
          <w:rtl/>
        </w:rPr>
      </w:pPr>
      <w:r>
        <w:rPr>
          <w:rFonts w:ascii="Tahoma" w:eastAsia="Times New Roman" w:hAnsi="Tahoma" w:cs="Tahoma"/>
          <w:b/>
          <w:bCs/>
          <w:color w:val="000000"/>
          <w:sz w:val="24"/>
          <w:szCs w:val="24"/>
          <w:rtl/>
        </w:rPr>
        <w:t>בבניה רוויה בשכונת נוה שמיר, ברמת בית שמש - בבית שמש</w:t>
      </w:r>
    </w:p>
    <w:p>
      <w:pPr>
        <w:shd w:val="clear" w:color="auto" w:fill="FFFFFF"/>
        <w:spacing w:after="0" w:line="240" w:lineRule="auto"/>
        <w:jc w:val="center"/>
        <w:rPr>
          <w:rFonts w:ascii="Arial" w:eastAsia="Times New Roman" w:hAnsi="Arial" w:cs="Arial"/>
          <w:color w:val="000000"/>
          <w:sz w:val="20"/>
          <w:szCs w:val="20"/>
          <w:rtl/>
        </w:rPr>
      </w:pPr>
      <w:r>
        <w:rPr>
          <w:rFonts w:ascii="Tahoma" w:eastAsia="Times New Roman" w:hAnsi="Tahoma" w:cs="Tahoma"/>
          <w:b/>
          <w:bCs/>
          <w:color w:val="000000"/>
          <w:sz w:val="24"/>
          <w:szCs w:val="24"/>
          <w:rtl/>
        </w:rPr>
        <w:t> </w:t>
      </w:r>
    </w:p>
    <w:p>
      <w:pPr>
        <w:shd w:val="clear" w:color="auto" w:fill="FFFFFF"/>
        <w:spacing w:after="0" w:line="240" w:lineRule="auto"/>
        <w:jc w:val="center"/>
        <w:rPr>
          <w:rFonts w:ascii="Arial" w:eastAsia="Times New Roman" w:hAnsi="Arial" w:cs="Arial"/>
          <w:color w:val="000000"/>
          <w:sz w:val="20"/>
          <w:szCs w:val="20"/>
          <w:rtl/>
        </w:rPr>
      </w:pPr>
      <w:r>
        <w:rPr>
          <w:rFonts w:ascii="Tahoma" w:eastAsia="Times New Roman" w:hAnsi="Tahoma" w:cs="Tahoma"/>
          <w:b/>
          <w:bCs/>
          <w:color w:val="000000"/>
          <w:sz w:val="24"/>
          <w:szCs w:val="24"/>
          <w:u w:val="single"/>
          <w:rtl/>
        </w:rPr>
        <w:t>מכרז מספר ים/434/2019</w:t>
      </w:r>
    </w:p>
    <w:p>
      <w:pPr>
        <w:shd w:val="clear" w:color="auto" w:fill="FFFFFF"/>
        <w:spacing w:after="0" w:line="240" w:lineRule="auto"/>
        <w:ind w:left="1615" w:right="1560"/>
        <w:rPr>
          <w:rFonts w:ascii="Arial" w:eastAsia="Times New Roman" w:hAnsi="Arial" w:cs="Arial"/>
          <w:color w:val="000000"/>
          <w:sz w:val="20"/>
          <w:szCs w:val="20"/>
          <w:rtl/>
        </w:rPr>
      </w:pPr>
      <w:r>
        <w:rPr>
          <w:rFonts w:ascii="Tahoma" w:eastAsia="Times New Roman" w:hAnsi="Tahoma" w:cs="Tahoma"/>
          <w:color w:val="000000"/>
          <w:sz w:val="24"/>
          <w:szCs w:val="24"/>
          <w:rtl/>
        </w:rPr>
        <w:t> </w:t>
      </w:r>
    </w:p>
    <w:p>
      <w:pPr>
        <w:shd w:val="clear" w:color="auto" w:fill="FFFFFF"/>
        <w:spacing w:after="0" w:line="240" w:lineRule="auto"/>
        <w:jc w:val="both"/>
        <w:rPr>
          <w:rFonts w:ascii="Arial" w:eastAsia="Times New Roman" w:hAnsi="Arial" w:cs="Arial"/>
          <w:color w:val="000000"/>
          <w:sz w:val="20"/>
          <w:szCs w:val="20"/>
          <w:rtl/>
        </w:rPr>
      </w:pPr>
      <w:bookmarkStart w:id="13" w:name="YoshBody_3"/>
      <w:bookmarkStart w:id="14" w:name="NotYoshBody_3"/>
      <w:bookmarkEnd w:id="13"/>
      <w:r>
        <w:rPr>
          <w:rFonts w:ascii="Tahoma" w:eastAsia="Times New Roman" w:hAnsi="Tahoma" w:cs="Tahoma"/>
          <w:color w:val="000000"/>
          <w:sz w:val="20"/>
          <w:szCs w:val="20"/>
          <w:rtl/>
        </w:rPr>
        <w:t>רשות מקרקעי ישראל (להלן: </w:t>
      </w:r>
      <w:r>
        <w:rPr>
          <w:rFonts w:ascii="Tahoma" w:eastAsia="Times New Roman" w:hAnsi="Tahoma" w:cs="Tahoma"/>
          <w:b/>
          <w:bCs/>
          <w:color w:val="000000"/>
          <w:sz w:val="20"/>
          <w:szCs w:val="20"/>
          <w:rtl/>
        </w:rPr>
        <w:t>"הרשות" או "רמ"י"),</w:t>
      </w:r>
      <w:r>
        <w:rPr>
          <w:rFonts w:ascii="Tahoma" w:eastAsia="Times New Roman" w:hAnsi="Tahoma" w:cs="Tahoma"/>
          <w:color w:val="000000"/>
          <w:sz w:val="20"/>
          <w:szCs w:val="20"/>
          <w:rtl/>
        </w:rPr>
        <w:t> ומשרד הבינוי והשיכון (להלן</w:t>
      </w:r>
      <w:r>
        <w:rPr>
          <w:rFonts w:ascii="Tahoma" w:eastAsia="Times New Roman" w:hAnsi="Tahoma" w:cs="Tahoma"/>
          <w:b/>
          <w:bCs/>
          <w:color w:val="000000"/>
          <w:sz w:val="20"/>
          <w:szCs w:val="20"/>
          <w:rtl/>
        </w:rPr>
        <w:t>:"המשרד"</w:t>
      </w:r>
      <w:r>
        <w:rPr>
          <w:rFonts w:ascii="Tahoma" w:eastAsia="Times New Roman" w:hAnsi="Tahoma" w:cs="Tahoma"/>
          <w:color w:val="000000"/>
          <w:sz w:val="20"/>
          <w:szCs w:val="20"/>
          <w:rtl/>
        </w:rPr>
        <w:t>) מזמינים בזה הצעות לחתימה על חוזה חכירה ישירה (ללא הסכם פיתוח) לתקופה של 98 שנים עם אופציה להארכה לעוד 98 שנים, בתנאים שיהיו נהוגים ברשות במועד החידוש וחוזה בנייה עם המשרד, בגין השטחים  שפרטיהם ואפשרויות הבניה עליהם בעת פרסום המכרז הם כדלהלן:</w:t>
      </w:r>
      <w:bookmarkEnd w:id="14"/>
    </w:p>
    <w:p>
      <w:pPr>
        <w:shd w:val="clear" w:color="auto" w:fill="FFFFFF"/>
        <w:spacing w:after="0" w:line="240" w:lineRule="auto"/>
        <w:jc w:val="both"/>
        <w:rPr>
          <w:rFonts w:ascii="Arial" w:eastAsia="Times New Roman" w:hAnsi="Arial" w:cs="Arial"/>
          <w:color w:val="000000"/>
          <w:sz w:val="20"/>
          <w:szCs w:val="20"/>
          <w:rtl/>
        </w:rPr>
      </w:pPr>
      <w:r>
        <w:rPr>
          <w:rFonts w:ascii="Tahoma" w:eastAsia="Times New Roman" w:hAnsi="Tahoma" w:cs="Tahoma"/>
          <w:color w:val="000000"/>
          <w:rtl/>
        </w:rPr>
        <w:t> </w:t>
      </w:r>
    </w:p>
    <w:p>
      <w:pPr>
        <w:shd w:val="clear" w:color="auto" w:fill="FFFFFF"/>
        <w:spacing w:after="0" w:line="240" w:lineRule="auto"/>
        <w:jc w:val="both"/>
        <w:rPr>
          <w:rFonts w:ascii="Arial" w:eastAsia="Times New Roman" w:hAnsi="Arial" w:cs="Arial"/>
          <w:color w:val="000000"/>
          <w:sz w:val="20"/>
          <w:szCs w:val="20"/>
          <w:rtl/>
        </w:rPr>
      </w:pPr>
      <w:r>
        <w:rPr>
          <w:rFonts w:ascii="Tahoma" w:eastAsia="Times New Roman" w:hAnsi="Tahoma" w:cs="Tahoma"/>
          <w:color w:val="000000"/>
          <w:sz w:val="20"/>
          <w:szCs w:val="20"/>
          <w:rtl/>
        </w:rPr>
        <w:t> </w:t>
      </w:r>
    </w:p>
    <w:tbl>
      <w:tblPr>
        <w:bidiVisual/>
        <w:tblW w:w="0" w:type="auto"/>
        <w:jc w:val="right"/>
        <w:tblBorders>
          <w:top w:val="single" w:sz="6" w:space="0" w:color="000000"/>
          <w:left w:val="single" w:sz="6" w:space="0" w:color="000000"/>
          <w:bottom w:val="single" w:sz="6" w:space="0" w:color="000000"/>
          <w:right w:val="single" w:sz="6" w:space="0" w:color="000000"/>
        </w:tblBorders>
        <w:tblCellMar>
          <w:left w:w="0" w:type="dxa"/>
          <w:right w:w="0" w:type="dxa"/>
        </w:tblCellMar>
        <w:tblLook w:val="04A0" w:firstRow="1" w:lastRow="0" w:firstColumn="1" w:lastColumn="0" w:noHBand="0" w:noVBand="1"/>
      </w:tblPr>
      <w:tblGrid>
        <w:gridCol w:w="1488"/>
        <w:gridCol w:w="1756"/>
        <w:gridCol w:w="2314"/>
        <w:gridCol w:w="2732"/>
      </w:tblGrid>
      <w:tr>
        <w:trPr>
          <w:jc w:val="right"/>
        </w:trPr>
        <w:tc>
          <w:tcPr>
            <w:tcW w:w="1498" w:type="dxa"/>
            <w:tcBorders>
              <w:bottom w:val="single" w:sz="6" w:space="0" w:color="auto"/>
              <w:right w:val="single" w:sz="6" w:space="0" w:color="auto"/>
            </w:tcBorders>
            <w:tcMar>
              <w:top w:w="0" w:type="dxa"/>
              <w:left w:w="101" w:type="dxa"/>
              <w:bottom w:w="0" w:type="dxa"/>
              <w:right w:w="101" w:type="dxa"/>
            </w:tcMar>
            <w:vAlign w:val="center"/>
            <w:hideMark/>
          </w:tcPr>
          <w:p>
            <w:pPr>
              <w:spacing w:after="0" w:line="240" w:lineRule="auto"/>
              <w:jc w:val="center"/>
              <w:rPr>
                <w:rFonts w:ascii="Arial" w:eastAsia="Times New Roman" w:hAnsi="Arial" w:cs="Arial"/>
                <w:rtl/>
              </w:rPr>
            </w:pPr>
            <w:r>
              <w:rPr>
                <w:rFonts w:ascii="Arial" w:eastAsia="Times New Roman" w:hAnsi="Arial" w:cs="Arial"/>
                <w:b/>
                <w:bCs/>
                <w:rtl/>
              </w:rPr>
              <w:t>מתחם</w:t>
            </w:r>
          </w:p>
        </w:tc>
        <w:tc>
          <w:tcPr>
            <w:tcW w:w="1768" w:type="dxa"/>
            <w:tcBorders>
              <w:left w:val="single" w:sz="6" w:space="0" w:color="auto"/>
              <w:bottom w:val="single" w:sz="6" w:space="0" w:color="auto"/>
              <w:right w:val="single" w:sz="6" w:space="0" w:color="auto"/>
            </w:tcBorders>
            <w:tcMar>
              <w:top w:w="0" w:type="dxa"/>
              <w:left w:w="101" w:type="dxa"/>
              <w:bottom w:w="0" w:type="dxa"/>
              <w:right w:w="101" w:type="dxa"/>
            </w:tcMar>
            <w:vAlign w:val="center"/>
            <w:hideMark/>
          </w:tcPr>
          <w:p>
            <w:pPr>
              <w:spacing w:after="0" w:line="240" w:lineRule="auto"/>
              <w:jc w:val="center"/>
              <w:rPr>
                <w:rFonts w:ascii="Arial" w:eastAsia="Times New Roman" w:hAnsi="Arial" w:cs="Arial"/>
                <w:rtl/>
              </w:rPr>
            </w:pPr>
            <w:r>
              <w:rPr>
                <w:rFonts w:ascii="Arial" w:eastAsia="Times New Roman" w:hAnsi="Arial" w:cs="Arial"/>
                <w:b/>
                <w:bCs/>
                <w:rtl/>
              </w:rPr>
              <w:t>מגרש</w:t>
            </w:r>
          </w:p>
        </w:tc>
        <w:tc>
          <w:tcPr>
            <w:tcW w:w="2336" w:type="dxa"/>
            <w:tcBorders>
              <w:left w:val="single" w:sz="6" w:space="0" w:color="auto"/>
              <w:bottom w:val="single" w:sz="6" w:space="0" w:color="auto"/>
              <w:right w:val="single" w:sz="6" w:space="0" w:color="auto"/>
            </w:tcBorders>
            <w:tcMar>
              <w:top w:w="0" w:type="dxa"/>
              <w:left w:w="101" w:type="dxa"/>
              <w:bottom w:w="0" w:type="dxa"/>
              <w:right w:w="101" w:type="dxa"/>
            </w:tcMar>
            <w:vAlign w:val="center"/>
            <w:hideMark/>
          </w:tcPr>
          <w:p>
            <w:pPr>
              <w:spacing w:after="0" w:line="240" w:lineRule="auto"/>
              <w:jc w:val="center"/>
              <w:rPr>
                <w:rFonts w:ascii="Arial" w:eastAsia="Times New Roman" w:hAnsi="Arial" w:cs="Arial"/>
                <w:rtl/>
              </w:rPr>
            </w:pPr>
            <w:r>
              <w:rPr>
                <w:rFonts w:ascii="Arial" w:eastAsia="Times New Roman" w:hAnsi="Arial" w:cs="Arial"/>
                <w:b/>
                <w:bCs/>
                <w:rtl/>
              </w:rPr>
              <w:t>מספר יח"ד מחיר למשתכן</w:t>
            </w:r>
          </w:p>
        </w:tc>
        <w:tc>
          <w:tcPr>
            <w:tcW w:w="2761" w:type="dxa"/>
            <w:tcBorders>
              <w:left w:val="single" w:sz="6" w:space="0" w:color="auto"/>
              <w:bottom w:val="single" w:sz="6" w:space="0" w:color="auto"/>
            </w:tcBorders>
            <w:tcMar>
              <w:top w:w="0" w:type="dxa"/>
              <w:left w:w="101" w:type="dxa"/>
              <w:bottom w:w="0" w:type="dxa"/>
              <w:right w:w="101" w:type="dxa"/>
            </w:tcMar>
            <w:vAlign w:val="center"/>
            <w:hideMark/>
          </w:tcPr>
          <w:p>
            <w:pPr>
              <w:spacing w:after="0" w:line="240" w:lineRule="auto"/>
              <w:jc w:val="center"/>
              <w:rPr>
                <w:rFonts w:ascii="Arial" w:eastAsia="Times New Roman" w:hAnsi="Arial" w:cs="Arial"/>
                <w:rtl/>
              </w:rPr>
            </w:pPr>
            <w:r>
              <w:rPr>
                <w:rFonts w:ascii="Arial" w:eastAsia="Times New Roman" w:hAnsi="Arial" w:cs="Arial"/>
                <w:b/>
                <w:bCs/>
                <w:rtl/>
              </w:rPr>
              <w:t>יח''ד שלא במחיר למשתכן עפ"י התכנית הקיימת</w:t>
            </w:r>
          </w:p>
        </w:tc>
      </w:tr>
      <w:tr>
        <w:trPr>
          <w:jc w:val="right"/>
        </w:trPr>
        <w:tc>
          <w:tcPr>
            <w:tcW w:w="1498" w:type="dxa"/>
            <w:tcBorders>
              <w:top w:val="single" w:sz="6" w:space="0" w:color="auto"/>
              <w:bottom w:val="single" w:sz="6" w:space="0" w:color="auto"/>
              <w:right w:val="single" w:sz="6" w:space="0" w:color="auto"/>
            </w:tcBorders>
            <w:tcMar>
              <w:top w:w="0" w:type="dxa"/>
              <w:left w:w="101" w:type="dxa"/>
              <w:bottom w:w="0" w:type="dxa"/>
              <w:right w:w="101" w:type="dxa"/>
            </w:tcMar>
            <w:vAlign w:val="center"/>
            <w:hideMark/>
          </w:tcPr>
          <w:p>
            <w:pPr>
              <w:spacing w:after="0" w:line="240" w:lineRule="auto"/>
              <w:jc w:val="center"/>
              <w:rPr>
                <w:rFonts w:ascii="Arial" w:eastAsia="Times New Roman" w:hAnsi="Arial" w:cs="Arial"/>
                <w:rtl/>
              </w:rPr>
            </w:pPr>
            <w:r>
              <w:rPr>
                <w:rFonts w:ascii="Arial" w:eastAsia="Times New Roman" w:hAnsi="Arial" w:cs="Arial"/>
                <w:rtl/>
              </w:rPr>
              <w:t>41983</w:t>
            </w:r>
          </w:p>
        </w:tc>
        <w:tc>
          <w:tcPr>
            <w:tcW w:w="1768" w:type="dxa"/>
            <w:tcBorders>
              <w:top w:val="single" w:sz="6" w:space="0" w:color="auto"/>
              <w:left w:val="single" w:sz="6" w:space="0" w:color="auto"/>
              <w:bottom w:val="single" w:sz="6" w:space="0" w:color="auto"/>
              <w:right w:val="single" w:sz="6" w:space="0" w:color="auto"/>
            </w:tcBorders>
            <w:tcMar>
              <w:top w:w="0" w:type="dxa"/>
              <w:left w:w="101" w:type="dxa"/>
              <w:bottom w:w="0" w:type="dxa"/>
              <w:right w:w="101" w:type="dxa"/>
            </w:tcMar>
            <w:vAlign w:val="center"/>
            <w:hideMark/>
          </w:tcPr>
          <w:p>
            <w:pPr>
              <w:spacing w:after="0" w:line="240" w:lineRule="auto"/>
              <w:jc w:val="center"/>
              <w:rPr>
                <w:rFonts w:ascii="Arial" w:eastAsia="Times New Roman" w:hAnsi="Arial" w:cs="Arial"/>
                <w:rtl/>
              </w:rPr>
            </w:pPr>
            <w:r>
              <w:rPr>
                <w:rFonts w:ascii="Arial" w:eastAsia="Times New Roman" w:hAnsi="Arial" w:cs="Arial"/>
                <w:rtl/>
              </w:rPr>
              <w:t>365,366</w:t>
            </w:r>
          </w:p>
        </w:tc>
        <w:tc>
          <w:tcPr>
            <w:tcW w:w="2336" w:type="dxa"/>
            <w:tcBorders>
              <w:top w:val="single" w:sz="6" w:space="0" w:color="auto"/>
              <w:left w:val="single" w:sz="6" w:space="0" w:color="auto"/>
              <w:bottom w:val="single" w:sz="6" w:space="0" w:color="auto"/>
              <w:right w:val="single" w:sz="6" w:space="0" w:color="auto"/>
            </w:tcBorders>
            <w:tcMar>
              <w:top w:w="0" w:type="dxa"/>
              <w:left w:w="101" w:type="dxa"/>
              <w:bottom w:w="0" w:type="dxa"/>
              <w:right w:w="101" w:type="dxa"/>
            </w:tcMar>
            <w:vAlign w:val="center"/>
            <w:hideMark/>
          </w:tcPr>
          <w:p>
            <w:pPr>
              <w:spacing w:after="0" w:line="240" w:lineRule="auto"/>
              <w:jc w:val="center"/>
              <w:rPr>
                <w:rFonts w:ascii="Arial" w:eastAsia="Times New Roman" w:hAnsi="Arial" w:cs="Arial"/>
                <w:rtl/>
              </w:rPr>
            </w:pPr>
            <w:r>
              <w:rPr>
                <w:rFonts w:ascii="Arial" w:eastAsia="Times New Roman" w:hAnsi="Arial" w:cs="Arial"/>
                <w:rtl/>
              </w:rPr>
              <w:t>25</w:t>
            </w:r>
          </w:p>
        </w:tc>
        <w:tc>
          <w:tcPr>
            <w:tcW w:w="2761" w:type="dxa"/>
            <w:tcBorders>
              <w:top w:val="single" w:sz="6" w:space="0" w:color="auto"/>
              <w:left w:val="single" w:sz="6" w:space="0" w:color="auto"/>
              <w:bottom w:val="single" w:sz="6" w:space="0" w:color="auto"/>
            </w:tcBorders>
            <w:tcMar>
              <w:top w:w="0" w:type="dxa"/>
              <w:left w:w="101" w:type="dxa"/>
              <w:bottom w:w="0" w:type="dxa"/>
              <w:right w:w="101" w:type="dxa"/>
            </w:tcMar>
            <w:vAlign w:val="center"/>
            <w:hideMark/>
          </w:tcPr>
          <w:p>
            <w:pPr>
              <w:spacing w:after="0" w:line="240" w:lineRule="auto"/>
              <w:jc w:val="center"/>
              <w:rPr>
                <w:rFonts w:ascii="Arial" w:eastAsia="Times New Roman" w:hAnsi="Arial" w:cs="Arial"/>
                <w:rtl/>
              </w:rPr>
            </w:pPr>
            <w:r>
              <w:rPr>
                <w:rFonts w:ascii="Arial" w:eastAsia="Times New Roman" w:hAnsi="Arial" w:cs="Arial"/>
                <w:rtl/>
              </w:rPr>
              <w:t>25</w:t>
            </w:r>
          </w:p>
        </w:tc>
      </w:tr>
      <w:tr>
        <w:trPr>
          <w:jc w:val="right"/>
        </w:trPr>
        <w:tc>
          <w:tcPr>
            <w:tcW w:w="1498" w:type="dxa"/>
            <w:tcBorders>
              <w:top w:val="single" w:sz="6" w:space="0" w:color="auto"/>
              <w:bottom w:val="single" w:sz="6" w:space="0" w:color="auto"/>
              <w:right w:val="single" w:sz="6" w:space="0" w:color="auto"/>
            </w:tcBorders>
            <w:tcMar>
              <w:top w:w="0" w:type="dxa"/>
              <w:left w:w="101" w:type="dxa"/>
              <w:bottom w:w="0" w:type="dxa"/>
              <w:right w:w="101" w:type="dxa"/>
            </w:tcMar>
            <w:vAlign w:val="center"/>
            <w:hideMark/>
          </w:tcPr>
          <w:p>
            <w:pPr>
              <w:spacing w:after="0" w:line="240" w:lineRule="auto"/>
              <w:jc w:val="center"/>
              <w:rPr>
                <w:rFonts w:ascii="Arial" w:eastAsia="Times New Roman" w:hAnsi="Arial" w:cs="Arial"/>
                <w:rtl/>
              </w:rPr>
            </w:pPr>
            <w:r>
              <w:rPr>
                <w:rFonts w:ascii="Arial" w:eastAsia="Times New Roman" w:hAnsi="Arial" w:cs="Arial"/>
                <w:rtl/>
              </w:rPr>
              <w:t>41988</w:t>
            </w:r>
          </w:p>
        </w:tc>
        <w:tc>
          <w:tcPr>
            <w:tcW w:w="1768" w:type="dxa"/>
            <w:tcBorders>
              <w:top w:val="single" w:sz="6" w:space="0" w:color="auto"/>
              <w:left w:val="single" w:sz="6" w:space="0" w:color="auto"/>
              <w:bottom w:val="single" w:sz="6" w:space="0" w:color="auto"/>
              <w:right w:val="single" w:sz="6" w:space="0" w:color="auto"/>
            </w:tcBorders>
            <w:tcMar>
              <w:top w:w="0" w:type="dxa"/>
              <w:left w:w="101" w:type="dxa"/>
              <w:bottom w:w="0" w:type="dxa"/>
              <w:right w:w="101" w:type="dxa"/>
            </w:tcMar>
            <w:vAlign w:val="center"/>
            <w:hideMark/>
          </w:tcPr>
          <w:p>
            <w:pPr>
              <w:spacing w:after="0" w:line="240" w:lineRule="auto"/>
              <w:jc w:val="center"/>
              <w:rPr>
                <w:rFonts w:ascii="Arial" w:eastAsia="Times New Roman" w:hAnsi="Arial" w:cs="Arial"/>
                <w:rtl/>
              </w:rPr>
            </w:pPr>
            <w:r>
              <w:rPr>
                <w:rFonts w:ascii="Arial" w:eastAsia="Times New Roman" w:hAnsi="Arial" w:cs="Arial"/>
                <w:rtl/>
              </w:rPr>
              <w:t>399</w:t>
            </w:r>
          </w:p>
        </w:tc>
        <w:tc>
          <w:tcPr>
            <w:tcW w:w="2336" w:type="dxa"/>
            <w:tcBorders>
              <w:top w:val="single" w:sz="6" w:space="0" w:color="auto"/>
              <w:left w:val="single" w:sz="6" w:space="0" w:color="auto"/>
              <w:bottom w:val="single" w:sz="6" w:space="0" w:color="auto"/>
              <w:right w:val="single" w:sz="6" w:space="0" w:color="auto"/>
            </w:tcBorders>
            <w:tcMar>
              <w:top w:w="0" w:type="dxa"/>
              <w:left w:w="101" w:type="dxa"/>
              <w:bottom w:w="0" w:type="dxa"/>
              <w:right w:w="101" w:type="dxa"/>
            </w:tcMar>
            <w:vAlign w:val="center"/>
            <w:hideMark/>
          </w:tcPr>
          <w:p>
            <w:pPr>
              <w:spacing w:after="0" w:line="240" w:lineRule="auto"/>
              <w:jc w:val="center"/>
              <w:rPr>
                <w:rFonts w:ascii="Arial" w:eastAsia="Times New Roman" w:hAnsi="Arial" w:cs="Arial"/>
                <w:rtl/>
              </w:rPr>
            </w:pPr>
            <w:r>
              <w:rPr>
                <w:rFonts w:ascii="Arial" w:eastAsia="Times New Roman" w:hAnsi="Arial" w:cs="Arial"/>
                <w:rtl/>
              </w:rPr>
              <w:t>20</w:t>
            </w:r>
          </w:p>
        </w:tc>
        <w:tc>
          <w:tcPr>
            <w:tcW w:w="2761" w:type="dxa"/>
            <w:tcBorders>
              <w:top w:val="single" w:sz="6" w:space="0" w:color="auto"/>
              <w:left w:val="single" w:sz="6" w:space="0" w:color="auto"/>
              <w:bottom w:val="single" w:sz="6" w:space="0" w:color="auto"/>
            </w:tcBorders>
            <w:tcMar>
              <w:top w:w="0" w:type="dxa"/>
              <w:left w:w="101" w:type="dxa"/>
              <w:bottom w:w="0" w:type="dxa"/>
              <w:right w:w="101" w:type="dxa"/>
            </w:tcMar>
            <w:vAlign w:val="center"/>
            <w:hideMark/>
          </w:tcPr>
          <w:p>
            <w:pPr>
              <w:spacing w:after="0" w:line="240" w:lineRule="auto"/>
              <w:jc w:val="center"/>
              <w:rPr>
                <w:rFonts w:ascii="Arial" w:eastAsia="Times New Roman" w:hAnsi="Arial" w:cs="Arial"/>
                <w:rtl/>
              </w:rPr>
            </w:pPr>
            <w:r>
              <w:rPr>
                <w:rFonts w:ascii="Arial" w:eastAsia="Times New Roman" w:hAnsi="Arial" w:cs="Arial"/>
                <w:rtl/>
              </w:rPr>
              <w:t>20</w:t>
            </w:r>
          </w:p>
        </w:tc>
      </w:tr>
      <w:tr>
        <w:trPr>
          <w:jc w:val="right"/>
        </w:trPr>
        <w:tc>
          <w:tcPr>
            <w:tcW w:w="1498" w:type="dxa"/>
            <w:tcBorders>
              <w:top w:val="single" w:sz="6" w:space="0" w:color="auto"/>
              <w:bottom w:val="single" w:sz="6" w:space="0" w:color="auto"/>
              <w:right w:val="single" w:sz="6" w:space="0" w:color="auto"/>
            </w:tcBorders>
            <w:tcMar>
              <w:top w:w="0" w:type="dxa"/>
              <w:left w:w="101" w:type="dxa"/>
              <w:bottom w:w="0" w:type="dxa"/>
              <w:right w:w="101" w:type="dxa"/>
            </w:tcMar>
            <w:vAlign w:val="center"/>
            <w:hideMark/>
          </w:tcPr>
          <w:p>
            <w:pPr>
              <w:spacing w:after="0" w:line="240" w:lineRule="auto"/>
              <w:jc w:val="center"/>
              <w:rPr>
                <w:rFonts w:ascii="Arial" w:eastAsia="Times New Roman" w:hAnsi="Arial" w:cs="Arial"/>
                <w:rtl/>
              </w:rPr>
            </w:pPr>
            <w:r>
              <w:rPr>
                <w:rFonts w:ascii="Arial" w:eastAsia="Times New Roman" w:hAnsi="Arial" w:cs="Arial"/>
                <w:rtl/>
              </w:rPr>
              <w:t>41989</w:t>
            </w:r>
          </w:p>
        </w:tc>
        <w:tc>
          <w:tcPr>
            <w:tcW w:w="1768" w:type="dxa"/>
            <w:tcBorders>
              <w:top w:val="single" w:sz="6" w:space="0" w:color="auto"/>
              <w:left w:val="single" w:sz="6" w:space="0" w:color="auto"/>
              <w:bottom w:val="single" w:sz="6" w:space="0" w:color="auto"/>
              <w:right w:val="single" w:sz="6" w:space="0" w:color="auto"/>
            </w:tcBorders>
            <w:tcMar>
              <w:top w:w="0" w:type="dxa"/>
              <w:left w:w="101" w:type="dxa"/>
              <w:bottom w:w="0" w:type="dxa"/>
              <w:right w:w="101" w:type="dxa"/>
            </w:tcMar>
            <w:vAlign w:val="center"/>
            <w:hideMark/>
          </w:tcPr>
          <w:p>
            <w:pPr>
              <w:spacing w:after="0" w:line="240" w:lineRule="auto"/>
              <w:jc w:val="center"/>
              <w:rPr>
                <w:rFonts w:ascii="Arial" w:eastAsia="Times New Roman" w:hAnsi="Arial" w:cs="Arial"/>
                <w:rtl/>
              </w:rPr>
            </w:pPr>
            <w:r>
              <w:rPr>
                <w:rFonts w:ascii="Arial" w:eastAsia="Times New Roman" w:hAnsi="Arial" w:cs="Arial"/>
                <w:rtl/>
              </w:rPr>
              <w:t>341, 342</w:t>
            </w:r>
          </w:p>
        </w:tc>
        <w:tc>
          <w:tcPr>
            <w:tcW w:w="2336" w:type="dxa"/>
            <w:tcBorders>
              <w:top w:val="single" w:sz="6" w:space="0" w:color="auto"/>
              <w:left w:val="single" w:sz="6" w:space="0" w:color="auto"/>
              <w:bottom w:val="single" w:sz="6" w:space="0" w:color="auto"/>
              <w:right w:val="single" w:sz="6" w:space="0" w:color="auto"/>
            </w:tcBorders>
            <w:tcMar>
              <w:top w:w="0" w:type="dxa"/>
              <w:left w:w="101" w:type="dxa"/>
              <w:bottom w:w="0" w:type="dxa"/>
              <w:right w:w="101" w:type="dxa"/>
            </w:tcMar>
            <w:vAlign w:val="center"/>
            <w:hideMark/>
          </w:tcPr>
          <w:p>
            <w:pPr>
              <w:spacing w:after="0" w:line="240" w:lineRule="auto"/>
              <w:jc w:val="center"/>
              <w:rPr>
                <w:rFonts w:ascii="Arial" w:eastAsia="Times New Roman" w:hAnsi="Arial" w:cs="Arial"/>
                <w:rtl/>
              </w:rPr>
            </w:pPr>
            <w:r>
              <w:rPr>
                <w:rFonts w:ascii="Arial" w:eastAsia="Times New Roman" w:hAnsi="Arial" w:cs="Arial"/>
                <w:rtl/>
              </w:rPr>
              <w:t>28</w:t>
            </w:r>
          </w:p>
        </w:tc>
        <w:tc>
          <w:tcPr>
            <w:tcW w:w="2761" w:type="dxa"/>
            <w:tcBorders>
              <w:top w:val="single" w:sz="6" w:space="0" w:color="auto"/>
              <w:left w:val="single" w:sz="6" w:space="0" w:color="auto"/>
              <w:bottom w:val="single" w:sz="6" w:space="0" w:color="auto"/>
            </w:tcBorders>
            <w:tcMar>
              <w:top w:w="0" w:type="dxa"/>
              <w:left w:w="101" w:type="dxa"/>
              <w:bottom w:w="0" w:type="dxa"/>
              <w:right w:w="101" w:type="dxa"/>
            </w:tcMar>
            <w:vAlign w:val="center"/>
            <w:hideMark/>
          </w:tcPr>
          <w:p>
            <w:pPr>
              <w:spacing w:after="0" w:line="240" w:lineRule="auto"/>
              <w:jc w:val="center"/>
              <w:rPr>
                <w:rFonts w:ascii="Arial" w:eastAsia="Times New Roman" w:hAnsi="Arial" w:cs="Arial"/>
                <w:rtl/>
              </w:rPr>
            </w:pPr>
            <w:r>
              <w:rPr>
                <w:rFonts w:ascii="Arial" w:eastAsia="Times New Roman" w:hAnsi="Arial" w:cs="Arial"/>
                <w:rtl/>
              </w:rPr>
              <w:t>28</w:t>
            </w:r>
          </w:p>
        </w:tc>
      </w:tr>
      <w:tr>
        <w:trPr>
          <w:jc w:val="right"/>
        </w:trPr>
        <w:tc>
          <w:tcPr>
            <w:tcW w:w="1498" w:type="dxa"/>
            <w:tcBorders>
              <w:top w:val="single" w:sz="6" w:space="0" w:color="auto"/>
              <w:bottom w:val="single" w:sz="6" w:space="0" w:color="auto"/>
              <w:right w:val="single" w:sz="6" w:space="0" w:color="auto"/>
            </w:tcBorders>
            <w:tcMar>
              <w:top w:w="0" w:type="dxa"/>
              <w:left w:w="101" w:type="dxa"/>
              <w:bottom w:w="0" w:type="dxa"/>
              <w:right w:w="101" w:type="dxa"/>
            </w:tcMar>
            <w:vAlign w:val="center"/>
            <w:hideMark/>
          </w:tcPr>
          <w:p>
            <w:pPr>
              <w:spacing w:after="0" w:line="240" w:lineRule="auto"/>
              <w:jc w:val="center"/>
              <w:rPr>
                <w:rFonts w:ascii="Arial" w:eastAsia="Times New Roman" w:hAnsi="Arial" w:cs="Arial"/>
                <w:rtl/>
              </w:rPr>
            </w:pPr>
            <w:r>
              <w:rPr>
                <w:rFonts w:ascii="Arial" w:eastAsia="Times New Roman" w:hAnsi="Arial" w:cs="Arial"/>
                <w:rtl/>
              </w:rPr>
              <w:t>51471</w:t>
            </w:r>
          </w:p>
        </w:tc>
        <w:tc>
          <w:tcPr>
            <w:tcW w:w="1768" w:type="dxa"/>
            <w:tcBorders>
              <w:top w:val="single" w:sz="6" w:space="0" w:color="auto"/>
              <w:left w:val="single" w:sz="6" w:space="0" w:color="auto"/>
              <w:bottom w:val="single" w:sz="6" w:space="0" w:color="auto"/>
              <w:right w:val="single" w:sz="6" w:space="0" w:color="auto"/>
            </w:tcBorders>
            <w:tcMar>
              <w:top w:w="0" w:type="dxa"/>
              <w:left w:w="101" w:type="dxa"/>
              <w:bottom w:w="0" w:type="dxa"/>
              <w:right w:w="101" w:type="dxa"/>
            </w:tcMar>
            <w:vAlign w:val="center"/>
            <w:hideMark/>
          </w:tcPr>
          <w:p>
            <w:pPr>
              <w:spacing w:after="0" w:line="240" w:lineRule="auto"/>
              <w:jc w:val="center"/>
              <w:rPr>
                <w:rFonts w:ascii="Arial" w:eastAsia="Times New Roman" w:hAnsi="Arial" w:cs="Arial"/>
                <w:rtl/>
              </w:rPr>
            </w:pPr>
            <w:r>
              <w:rPr>
                <w:rFonts w:ascii="Arial" w:eastAsia="Times New Roman" w:hAnsi="Arial" w:cs="Arial"/>
                <w:rtl/>
              </w:rPr>
              <w:t>338</w:t>
            </w:r>
          </w:p>
        </w:tc>
        <w:tc>
          <w:tcPr>
            <w:tcW w:w="2336" w:type="dxa"/>
            <w:tcBorders>
              <w:top w:val="single" w:sz="6" w:space="0" w:color="auto"/>
              <w:left w:val="single" w:sz="6" w:space="0" w:color="auto"/>
              <w:bottom w:val="single" w:sz="6" w:space="0" w:color="auto"/>
              <w:right w:val="single" w:sz="6" w:space="0" w:color="auto"/>
            </w:tcBorders>
            <w:tcMar>
              <w:top w:w="0" w:type="dxa"/>
              <w:left w:w="101" w:type="dxa"/>
              <w:bottom w:w="0" w:type="dxa"/>
              <w:right w:w="101" w:type="dxa"/>
            </w:tcMar>
            <w:vAlign w:val="center"/>
            <w:hideMark/>
          </w:tcPr>
          <w:p>
            <w:pPr>
              <w:spacing w:after="0" w:line="240" w:lineRule="auto"/>
              <w:jc w:val="center"/>
              <w:rPr>
                <w:rFonts w:ascii="Arial" w:eastAsia="Times New Roman" w:hAnsi="Arial" w:cs="Arial"/>
                <w:rtl/>
              </w:rPr>
            </w:pPr>
            <w:r>
              <w:rPr>
                <w:rFonts w:ascii="Arial" w:eastAsia="Times New Roman" w:hAnsi="Arial" w:cs="Arial"/>
                <w:rtl/>
              </w:rPr>
              <w:t>14</w:t>
            </w:r>
          </w:p>
        </w:tc>
        <w:tc>
          <w:tcPr>
            <w:tcW w:w="2761" w:type="dxa"/>
            <w:tcBorders>
              <w:top w:val="single" w:sz="6" w:space="0" w:color="auto"/>
              <w:left w:val="single" w:sz="6" w:space="0" w:color="auto"/>
              <w:bottom w:val="single" w:sz="6" w:space="0" w:color="auto"/>
            </w:tcBorders>
            <w:tcMar>
              <w:top w:w="0" w:type="dxa"/>
              <w:left w:w="101" w:type="dxa"/>
              <w:bottom w:w="0" w:type="dxa"/>
              <w:right w:w="101" w:type="dxa"/>
            </w:tcMar>
            <w:vAlign w:val="center"/>
            <w:hideMark/>
          </w:tcPr>
          <w:p>
            <w:pPr>
              <w:spacing w:after="0" w:line="240" w:lineRule="auto"/>
              <w:jc w:val="center"/>
              <w:rPr>
                <w:rFonts w:ascii="Arial" w:eastAsia="Times New Roman" w:hAnsi="Arial" w:cs="Arial"/>
                <w:rtl/>
              </w:rPr>
            </w:pPr>
            <w:r>
              <w:rPr>
                <w:rFonts w:ascii="Arial" w:eastAsia="Times New Roman" w:hAnsi="Arial" w:cs="Arial"/>
                <w:rtl/>
              </w:rPr>
              <w:t>14</w:t>
            </w:r>
          </w:p>
        </w:tc>
      </w:tr>
      <w:tr>
        <w:trPr>
          <w:jc w:val="right"/>
        </w:trPr>
        <w:tc>
          <w:tcPr>
            <w:tcW w:w="1498" w:type="dxa"/>
            <w:tcBorders>
              <w:top w:val="single" w:sz="6" w:space="0" w:color="auto"/>
              <w:right w:val="single" w:sz="6" w:space="0" w:color="auto"/>
            </w:tcBorders>
            <w:tcMar>
              <w:top w:w="0" w:type="dxa"/>
              <w:left w:w="101" w:type="dxa"/>
              <w:bottom w:w="0" w:type="dxa"/>
              <w:right w:w="101" w:type="dxa"/>
            </w:tcMar>
            <w:vAlign w:val="center"/>
            <w:hideMark/>
          </w:tcPr>
          <w:p>
            <w:pPr>
              <w:spacing w:after="0" w:line="240" w:lineRule="auto"/>
              <w:jc w:val="center"/>
              <w:rPr>
                <w:rFonts w:ascii="Arial" w:eastAsia="Times New Roman" w:hAnsi="Arial" w:cs="Arial"/>
                <w:rtl/>
              </w:rPr>
            </w:pPr>
            <w:r>
              <w:rPr>
                <w:rFonts w:ascii="Arial" w:eastAsia="Times New Roman" w:hAnsi="Arial" w:cs="Arial"/>
                <w:rtl/>
              </w:rPr>
              <w:t>51472</w:t>
            </w:r>
          </w:p>
        </w:tc>
        <w:tc>
          <w:tcPr>
            <w:tcW w:w="1768" w:type="dxa"/>
            <w:tcBorders>
              <w:top w:val="single" w:sz="6" w:space="0" w:color="auto"/>
              <w:left w:val="single" w:sz="6" w:space="0" w:color="auto"/>
              <w:right w:val="single" w:sz="6" w:space="0" w:color="auto"/>
            </w:tcBorders>
            <w:tcMar>
              <w:top w:w="0" w:type="dxa"/>
              <w:left w:w="101" w:type="dxa"/>
              <w:bottom w:w="0" w:type="dxa"/>
              <w:right w:w="101" w:type="dxa"/>
            </w:tcMar>
            <w:vAlign w:val="center"/>
            <w:hideMark/>
          </w:tcPr>
          <w:p>
            <w:pPr>
              <w:spacing w:after="0" w:line="240" w:lineRule="auto"/>
              <w:jc w:val="center"/>
              <w:rPr>
                <w:rFonts w:ascii="Arial" w:eastAsia="Times New Roman" w:hAnsi="Arial" w:cs="Arial"/>
                <w:rtl/>
              </w:rPr>
            </w:pPr>
            <w:r>
              <w:rPr>
                <w:rFonts w:ascii="Arial" w:eastAsia="Times New Roman" w:hAnsi="Arial" w:cs="Arial"/>
                <w:rtl/>
              </w:rPr>
              <w:t>339, 340</w:t>
            </w:r>
          </w:p>
        </w:tc>
        <w:tc>
          <w:tcPr>
            <w:tcW w:w="2336" w:type="dxa"/>
            <w:tcBorders>
              <w:top w:val="single" w:sz="6" w:space="0" w:color="auto"/>
              <w:left w:val="single" w:sz="6" w:space="0" w:color="auto"/>
              <w:right w:val="single" w:sz="6" w:space="0" w:color="auto"/>
            </w:tcBorders>
            <w:tcMar>
              <w:top w:w="0" w:type="dxa"/>
              <w:left w:w="101" w:type="dxa"/>
              <w:bottom w:w="0" w:type="dxa"/>
              <w:right w:w="101" w:type="dxa"/>
            </w:tcMar>
            <w:vAlign w:val="center"/>
            <w:hideMark/>
          </w:tcPr>
          <w:p>
            <w:pPr>
              <w:spacing w:after="0" w:line="240" w:lineRule="auto"/>
              <w:jc w:val="center"/>
              <w:rPr>
                <w:rFonts w:ascii="Arial" w:eastAsia="Times New Roman" w:hAnsi="Arial" w:cs="Arial"/>
                <w:rtl/>
              </w:rPr>
            </w:pPr>
            <w:r>
              <w:rPr>
                <w:rFonts w:ascii="Arial" w:eastAsia="Times New Roman" w:hAnsi="Arial" w:cs="Arial"/>
                <w:rtl/>
              </w:rPr>
              <w:t>28</w:t>
            </w:r>
          </w:p>
        </w:tc>
        <w:tc>
          <w:tcPr>
            <w:tcW w:w="2761" w:type="dxa"/>
            <w:tcBorders>
              <w:top w:val="single" w:sz="6" w:space="0" w:color="auto"/>
              <w:left w:val="single" w:sz="6" w:space="0" w:color="auto"/>
            </w:tcBorders>
            <w:tcMar>
              <w:top w:w="0" w:type="dxa"/>
              <w:left w:w="101" w:type="dxa"/>
              <w:bottom w:w="0" w:type="dxa"/>
              <w:right w:w="101" w:type="dxa"/>
            </w:tcMar>
            <w:vAlign w:val="center"/>
            <w:hideMark/>
          </w:tcPr>
          <w:p>
            <w:pPr>
              <w:spacing w:after="0" w:line="240" w:lineRule="auto"/>
              <w:jc w:val="center"/>
              <w:rPr>
                <w:rFonts w:ascii="Arial" w:eastAsia="Times New Roman" w:hAnsi="Arial" w:cs="Arial"/>
                <w:rtl/>
              </w:rPr>
            </w:pPr>
            <w:r>
              <w:rPr>
                <w:rFonts w:ascii="Arial" w:eastAsia="Times New Roman" w:hAnsi="Arial" w:cs="Arial"/>
                <w:rtl/>
              </w:rPr>
              <w:t>28</w:t>
            </w:r>
          </w:p>
        </w:tc>
      </w:tr>
    </w:tbl>
    <w:p>
      <w:pPr>
        <w:shd w:val="clear" w:color="auto" w:fill="FFFFFF"/>
        <w:spacing w:after="0" w:line="240" w:lineRule="auto"/>
        <w:jc w:val="both"/>
        <w:rPr>
          <w:rFonts w:ascii="Arial" w:eastAsia="Times New Roman" w:hAnsi="Arial" w:cs="Arial"/>
          <w:color w:val="000000"/>
          <w:sz w:val="20"/>
          <w:szCs w:val="20"/>
          <w:rtl/>
        </w:rPr>
      </w:pPr>
      <w:r>
        <w:rPr>
          <w:rFonts w:ascii="Tahoma" w:eastAsia="Times New Roman" w:hAnsi="Tahoma" w:cs="Tahoma"/>
          <w:color w:val="000000"/>
          <w:sz w:val="20"/>
          <w:szCs w:val="20"/>
          <w:rtl/>
        </w:rPr>
        <w:t> </w:t>
      </w:r>
    </w:p>
    <w:p>
      <w:pPr>
        <w:shd w:val="clear" w:color="auto" w:fill="FFFFFF"/>
        <w:spacing w:after="0" w:line="240" w:lineRule="auto"/>
        <w:jc w:val="both"/>
        <w:rPr>
          <w:rFonts w:ascii="Arial" w:eastAsia="Times New Roman" w:hAnsi="Arial" w:cs="Arial"/>
          <w:color w:val="000000"/>
          <w:rtl/>
        </w:rPr>
      </w:pPr>
      <w:bookmarkStart w:id="15" w:name="HotzaotPituachTableXML"/>
      <w:bookmarkEnd w:id="15"/>
      <w:r>
        <w:rPr>
          <w:rFonts w:ascii="Tahoma" w:eastAsia="Times New Roman" w:hAnsi="Tahoma" w:cs="Tahoma"/>
          <w:b/>
          <w:bCs/>
          <w:color w:val="000000"/>
        </w:rPr>
        <w:t> </w:t>
      </w:r>
    </w:p>
    <w:p>
      <w:pPr>
        <w:shd w:val="clear" w:color="auto" w:fill="FFFFFF"/>
        <w:spacing w:after="0" w:line="240" w:lineRule="auto"/>
        <w:jc w:val="both"/>
        <w:rPr>
          <w:rFonts w:ascii="Arial" w:eastAsia="Times New Roman" w:hAnsi="Arial" w:cs="Arial"/>
          <w:color w:val="000000"/>
          <w:rtl/>
        </w:rPr>
      </w:pPr>
      <w:r>
        <w:rPr>
          <w:rFonts w:ascii="Tahoma" w:eastAsia="Times New Roman" w:hAnsi="Tahoma" w:cs="Tahoma"/>
          <w:b/>
          <w:bCs/>
          <w:color w:val="000000"/>
          <w:u w:val="single"/>
          <w:rtl/>
        </w:rPr>
        <w:t>מחיר מקסימום למ"ר דירתי, הוצאות הפיתוח וגובה ערבות לקיום ההצעה יפורסמו בחוברת המכרז.</w:t>
      </w:r>
    </w:p>
    <w:p>
      <w:pPr>
        <w:shd w:val="clear" w:color="auto" w:fill="FFFFFF"/>
        <w:spacing w:after="0" w:line="240" w:lineRule="auto"/>
        <w:jc w:val="both"/>
        <w:rPr>
          <w:rFonts w:ascii="Arial" w:eastAsia="Times New Roman" w:hAnsi="Arial" w:cs="Arial"/>
          <w:color w:val="000000"/>
          <w:rtl/>
        </w:rPr>
      </w:pPr>
      <w:r>
        <w:rPr>
          <w:rFonts w:ascii="Tahoma" w:eastAsia="Times New Roman" w:hAnsi="Tahoma" w:cs="Tahoma"/>
          <w:b/>
          <w:bCs/>
          <w:color w:val="000000"/>
          <w:rtl/>
        </w:rPr>
        <w:t> </w:t>
      </w:r>
    </w:p>
    <w:p>
      <w:pPr>
        <w:shd w:val="clear" w:color="auto" w:fill="FFFFFF"/>
        <w:spacing w:after="0" w:line="240" w:lineRule="auto"/>
        <w:jc w:val="both"/>
        <w:rPr>
          <w:rFonts w:ascii="Arial" w:eastAsia="Times New Roman" w:hAnsi="Arial" w:cs="Arial"/>
          <w:color w:val="000000"/>
          <w:rtl/>
        </w:rPr>
      </w:pPr>
      <w:r>
        <w:rPr>
          <w:rFonts w:ascii="Tahoma" w:eastAsia="Times New Roman" w:hAnsi="Tahoma" w:cs="Tahoma"/>
          <w:b/>
          <w:bCs/>
          <w:color w:val="000000"/>
          <w:rtl/>
        </w:rPr>
        <w:t>התחרות במכרז תהיה על המחיר הסופי הנמוך ביותר למ"ר דירתי עבור דירות מחיר למשתכן.</w:t>
      </w:r>
    </w:p>
    <w:p>
      <w:pPr>
        <w:shd w:val="clear" w:color="auto" w:fill="FFFFFF"/>
        <w:spacing w:after="0" w:line="240" w:lineRule="auto"/>
        <w:jc w:val="both"/>
        <w:rPr>
          <w:rFonts w:ascii="Arial" w:eastAsia="Times New Roman" w:hAnsi="Arial" w:cs="Arial"/>
          <w:color w:val="000000"/>
          <w:sz w:val="20"/>
          <w:szCs w:val="20"/>
          <w:rtl/>
        </w:rPr>
      </w:pPr>
      <w:r>
        <w:rPr>
          <w:rFonts w:ascii="Tahoma" w:eastAsia="Times New Roman" w:hAnsi="Tahoma" w:cs="Tahoma"/>
          <w:b/>
          <w:bCs/>
          <w:color w:val="000000"/>
          <w:sz w:val="20"/>
          <w:szCs w:val="20"/>
        </w:rPr>
        <w:t> </w:t>
      </w:r>
    </w:p>
    <w:p>
      <w:pPr>
        <w:shd w:val="clear" w:color="auto" w:fill="FFFFFF"/>
        <w:spacing w:after="0" w:line="240" w:lineRule="auto"/>
        <w:jc w:val="both"/>
        <w:rPr>
          <w:rFonts w:ascii="Arial" w:eastAsia="Times New Roman" w:hAnsi="Arial" w:cs="Arial"/>
          <w:color w:val="000000"/>
          <w:rtl/>
        </w:rPr>
      </w:pPr>
      <w:r>
        <w:rPr>
          <w:rFonts w:ascii="Tahoma" w:eastAsia="Times New Roman" w:hAnsi="Tahoma" w:cs="Tahoma"/>
          <w:b/>
          <w:bCs/>
          <w:color w:val="000000"/>
          <w:u w:val="single"/>
          <w:rtl/>
        </w:rPr>
        <w:t>התמורה המופחתת עבור הקרקע (תפורסם בחוברת המכרז) הינה לפי פרק משנה 4.7 לקובץ החלטות מועצת מקרקעי ישראל על פיו ניתנת הנחה עבור יח"ד המיועדות להימכר לזכאים, והכול בכפוף לתנאי המכרז.</w:t>
      </w:r>
    </w:p>
    <w:p>
      <w:pPr>
        <w:shd w:val="clear" w:color="auto" w:fill="FFFFFF"/>
        <w:spacing w:after="0" w:line="240" w:lineRule="auto"/>
        <w:rPr>
          <w:rFonts w:ascii="Arial" w:eastAsia="Times New Roman" w:hAnsi="Arial" w:cs="Arial"/>
          <w:color w:val="000000"/>
          <w:sz w:val="20"/>
          <w:szCs w:val="20"/>
          <w:rtl/>
        </w:rPr>
      </w:pPr>
      <w:r>
        <w:rPr>
          <w:rFonts w:ascii="Tahoma" w:eastAsia="Times New Roman" w:hAnsi="Tahoma" w:cs="Tahoma"/>
          <w:color w:val="000000"/>
          <w:sz w:val="24"/>
          <w:szCs w:val="24"/>
          <w:rtl/>
        </w:rPr>
        <w:t> </w:t>
      </w:r>
    </w:p>
    <w:p>
      <w:pPr>
        <w:shd w:val="clear" w:color="auto" w:fill="FFFFFF"/>
        <w:spacing w:after="0" w:line="240" w:lineRule="auto"/>
        <w:jc w:val="both"/>
        <w:rPr>
          <w:rFonts w:ascii="Arial" w:eastAsia="Times New Roman" w:hAnsi="Arial" w:cs="Arial"/>
          <w:color w:val="000000"/>
          <w:sz w:val="20"/>
          <w:szCs w:val="20"/>
          <w:rtl/>
        </w:rPr>
      </w:pPr>
      <w:r>
        <w:rPr>
          <w:rFonts w:ascii="Tahoma" w:eastAsia="Times New Roman" w:hAnsi="Tahoma" w:cs="Tahoma"/>
          <w:color w:val="000000"/>
          <w:sz w:val="20"/>
          <w:szCs w:val="20"/>
          <w:rtl/>
        </w:rPr>
        <w:t>על המגרשים חלה תוכנית 102-0055277, יעוד המגרשים הינו בניה רוויה למגורים, יתר פרטי המכרז יפורסמו בחוברת המכרז.</w:t>
      </w:r>
    </w:p>
    <w:p>
      <w:pPr>
        <w:shd w:val="clear" w:color="auto" w:fill="FFFFFF"/>
        <w:spacing w:after="0" w:line="240" w:lineRule="auto"/>
        <w:jc w:val="both"/>
        <w:rPr>
          <w:rFonts w:ascii="Arial" w:eastAsia="Times New Roman" w:hAnsi="Arial" w:cs="Arial"/>
          <w:color w:val="000000"/>
          <w:sz w:val="20"/>
          <w:szCs w:val="20"/>
          <w:rtl/>
        </w:rPr>
      </w:pPr>
      <w:r>
        <w:rPr>
          <w:rFonts w:ascii="Tahoma" w:eastAsia="Times New Roman" w:hAnsi="Tahoma" w:cs="Tahoma"/>
          <w:color w:val="000000"/>
          <w:sz w:val="20"/>
          <w:szCs w:val="20"/>
          <w:rtl/>
        </w:rPr>
        <w:t> </w:t>
      </w:r>
    </w:p>
    <w:p>
      <w:pPr>
        <w:shd w:val="clear" w:color="auto" w:fill="FFFFFF"/>
        <w:spacing w:after="0" w:line="240" w:lineRule="auto"/>
        <w:rPr>
          <w:rFonts w:ascii="Arial" w:eastAsia="Times New Roman" w:hAnsi="Arial" w:cs="Arial"/>
          <w:color w:val="000000"/>
          <w:sz w:val="20"/>
          <w:szCs w:val="20"/>
          <w:rtl/>
        </w:rPr>
      </w:pPr>
      <w:r>
        <w:rPr>
          <w:rFonts w:ascii="Tahoma" w:eastAsia="Times New Roman" w:hAnsi="Tahoma" w:cs="Tahoma"/>
          <w:color w:val="000000"/>
          <w:sz w:val="20"/>
          <w:szCs w:val="20"/>
          <w:rtl/>
        </w:rPr>
        <w:t>בנוסף לתמורה המופחתת עבור הקרקע כאמור, ישלם הזוכה במכרז  הוצאות פיתוח למשרד, אגרות והיטלים לרשות המקומית ודמי הקמה לתאגיד המים והביוב, הכל כמפורט בחוברת המכרז.</w:t>
      </w:r>
    </w:p>
    <w:p>
      <w:pPr>
        <w:shd w:val="clear" w:color="auto" w:fill="FFFFFF"/>
        <w:spacing w:after="0" w:line="240" w:lineRule="auto"/>
        <w:jc w:val="both"/>
        <w:rPr>
          <w:rFonts w:ascii="Arial" w:eastAsia="Times New Roman" w:hAnsi="Arial" w:cs="Arial"/>
          <w:color w:val="000000"/>
          <w:sz w:val="20"/>
          <w:szCs w:val="20"/>
          <w:rtl/>
        </w:rPr>
      </w:pPr>
      <w:r>
        <w:rPr>
          <w:rFonts w:ascii="Tahoma" w:eastAsia="Times New Roman" w:hAnsi="Tahoma" w:cs="Tahoma"/>
          <w:color w:val="000000"/>
          <w:sz w:val="20"/>
          <w:szCs w:val="20"/>
          <w:rtl/>
        </w:rPr>
        <w:t> </w:t>
      </w:r>
    </w:p>
    <w:p>
      <w:pPr>
        <w:shd w:val="clear" w:color="auto" w:fill="FFFFFF"/>
        <w:spacing w:after="0" w:line="240" w:lineRule="auto"/>
        <w:jc w:val="both"/>
        <w:rPr>
          <w:rFonts w:ascii="Arial" w:eastAsia="Times New Roman" w:hAnsi="Arial" w:cs="Arial"/>
          <w:color w:val="000000"/>
          <w:sz w:val="20"/>
          <w:szCs w:val="20"/>
          <w:rtl/>
        </w:rPr>
      </w:pPr>
      <w:r>
        <w:rPr>
          <w:rFonts w:ascii="Tahoma" w:eastAsia="Times New Roman" w:hAnsi="Tahoma" w:cs="Tahoma"/>
          <w:color w:val="000000"/>
          <w:sz w:val="20"/>
          <w:szCs w:val="20"/>
          <w:rtl/>
        </w:rPr>
        <w:t>חוברת המכרז תפורסם באתר האינטרנט של רמ"י ביום 27/01/2020. ניתן להוריד ולעיין בחוברת ללא כל תמורה.</w:t>
      </w:r>
    </w:p>
    <w:p>
      <w:pPr>
        <w:shd w:val="clear" w:color="auto" w:fill="FFFFFF"/>
        <w:spacing w:after="0" w:line="240" w:lineRule="auto"/>
        <w:jc w:val="both"/>
        <w:rPr>
          <w:rFonts w:ascii="Arial" w:eastAsia="Times New Roman" w:hAnsi="Arial" w:cs="Arial"/>
          <w:color w:val="000000"/>
          <w:sz w:val="20"/>
          <w:szCs w:val="20"/>
          <w:rtl/>
        </w:rPr>
      </w:pPr>
      <w:r>
        <w:rPr>
          <w:rFonts w:ascii="Tahoma" w:eastAsia="Times New Roman" w:hAnsi="Tahoma" w:cs="Tahoma"/>
          <w:color w:val="000000"/>
          <w:sz w:val="20"/>
          <w:szCs w:val="20"/>
          <w:rtl/>
        </w:rPr>
        <w:t> </w:t>
      </w:r>
    </w:p>
    <w:p>
      <w:pPr>
        <w:shd w:val="clear" w:color="auto" w:fill="FFFFFF"/>
        <w:spacing w:after="0" w:line="240" w:lineRule="auto"/>
        <w:jc w:val="both"/>
        <w:rPr>
          <w:rFonts w:ascii="Arial" w:eastAsia="Times New Roman" w:hAnsi="Arial" w:cs="Arial"/>
          <w:color w:val="000000"/>
          <w:sz w:val="20"/>
          <w:szCs w:val="20"/>
          <w:rtl/>
        </w:rPr>
      </w:pPr>
      <w:r>
        <w:rPr>
          <w:rFonts w:ascii="Tahoma" w:eastAsia="Times New Roman" w:hAnsi="Tahoma" w:cs="Tahoma"/>
          <w:color w:val="000000"/>
          <w:sz w:val="20"/>
          <w:szCs w:val="20"/>
          <w:rtl/>
        </w:rPr>
        <w:t>ניתן לקבל עותק של חוברת המכרז ודפי מידע אודות המכרז, ללא כל תמורה , במשרדי רשות מקרקעי ישראל, רח' יפו 216 בנין שערי העיר, ירושלים, טלפון 03-9533333, *5575, 10 ימים לאחר מועד פרסום חוברת המכרז באתר.</w:t>
      </w:r>
    </w:p>
    <w:p>
      <w:pPr>
        <w:shd w:val="clear" w:color="auto" w:fill="FFFFFF"/>
        <w:spacing w:after="0" w:line="240" w:lineRule="auto"/>
        <w:jc w:val="both"/>
        <w:rPr>
          <w:rFonts w:ascii="Arial" w:eastAsia="Times New Roman" w:hAnsi="Arial" w:cs="Arial"/>
          <w:color w:val="000000"/>
          <w:sz w:val="20"/>
          <w:szCs w:val="20"/>
          <w:rtl/>
        </w:rPr>
      </w:pPr>
      <w:r>
        <w:rPr>
          <w:rFonts w:ascii="Tahoma" w:eastAsia="Times New Roman" w:hAnsi="Tahoma" w:cs="Tahoma"/>
          <w:color w:val="000000"/>
          <w:sz w:val="20"/>
          <w:szCs w:val="20"/>
          <w:rtl/>
        </w:rPr>
        <w:t> </w:t>
      </w:r>
    </w:p>
    <w:p>
      <w:pPr>
        <w:shd w:val="clear" w:color="auto" w:fill="FFFFFF"/>
        <w:spacing w:after="0" w:line="240" w:lineRule="auto"/>
        <w:jc w:val="both"/>
        <w:rPr>
          <w:rFonts w:ascii="Arial" w:eastAsia="Times New Roman" w:hAnsi="Arial" w:cs="Arial"/>
          <w:color w:val="000000"/>
          <w:sz w:val="20"/>
          <w:szCs w:val="20"/>
          <w:rtl/>
        </w:rPr>
      </w:pPr>
      <w:r>
        <w:rPr>
          <w:rFonts w:ascii="Tahoma" w:eastAsia="Times New Roman" w:hAnsi="Tahoma" w:cs="Tahoma"/>
          <w:color w:val="000000"/>
          <w:sz w:val="20"/>
          <w:szCs w:val="20"/>
          <w:rtl/>
        </w:rPr>
        <w:t>זמני קבלת קהל</w:t>
      </w:r>
      <w:r>
        <w:rPr>
          <w:rFonts w:ascii="Times New Roman" w:eastAsia="Times New Roman" w:hAnsi="Times New Roman" w:cs="Times New Roman"/>
          <w:color w:val="000000"/>
          <w:sz w:val="20"/>
          <w:szCs w:val="20"/>
          <w:rtl/>
        </w:rPr>
        <w:t>: </w:t>
      </w:r>
      <w:r>
        <w:rPr>
          <w:rFonts w:ascii="Tahoma" w:eastAsia="Times New Roman" w:hAnsi="Tahoma" w:cs="Tahoma"/>
          <w:color w:val="000000"/>
          <w:sz w:val="20"/>
          <w:szCs w:val="20"/>
          <w:rtl/>
        </w:rPr>
        <w:t>בימים ב</w:t>
      </w:r>
      <w:r>
        <w:rPr>
          <w:rFonts w:ascii="Times New Roman" w:eastAsia="Times New Roman" w:hAnsi="Times New Roman" w:cs="Times New Roman"/>
          <w:color w:val="000000"/>
          <w:sz w:val="20"/>
          <w:szCs w:val="20"/>
          <w:rtl/>
        </w:rPr>
        <w:t>' </w:t>
      </w:r>
      <w:r>
        <w:rPr>
          <w:rFonts w:ascii="Tahoma" w:eastAsia="Times New Roman" w:hAnsi="Tahoma" w:cs="Tahoma"/>
          <w:color w:val="000000"/>
          <w:sz w:val="20"/>
          <w:szCs w:val="20"/>
          <w:rtl/>
        </w:rPr>
        <w:t>ו</w:t>
      </w:r>
      <w:r>
        <w:rPr>
          <w:rFonts w:ascii="Times New Roman" w:eastAsia="Times New Roman" w:hAnsi="Times New Roman" w:cs="Times New Roman"/>
          <w:color w:val="000000"/>
          <w:sz w:val="20"/>
          <w:szCs w:val="20"/>
          <w:rtl/>
        </w:rPr>
        <w:t>-</w:t>
      </w:r>
      <w:r>
        <w:rPr>
          <w:rFonts w:ascii="Tahoma" w:eastAsia="Times New Roman" w:hAnsi="Tahoma" w:cs="Tahoma"/>
          <w:color w:val="000000"/>
          <w:sz w:val="20"/>
          <w:szCs w:val="20"/>
          <w:rtl/>
        </w:rPr>
        <w:t>ד</w:t>
      </w:r>
      <w:r>
        <w:rPr>
          <w:rFonts w:ascii="Times New Roman" w:eastAsia="Times New Roman" w:hAnsi="Times New Roman" w:cs="Times New Roman"/>
          <w:color w:val="000000"/>
          <w:sz w:val="20"/>
          <w:szCs w:val="20"/>
          <w:rtl/>
        </w:rPr>
        <w:t>' </w:t>
      </w:r>
      <w:r>
        <w:rPr>
          <w:rFonts w:ascii="Tahoma" w:eastAsia="Times New Roman" w:hAnsi="Tahoma" w:cs="Tahoma"/>
          <w:color w:val="000000"/>
          <w:sz w:val="20"/>
          <w:szCs w:val="20"/>
          <w:rtl/>
        </w:rPr>
        <w:t>בין השעות </w:t>
      </w:r>
      <w:r>
        <w:rPr>
          <w:rFonts w:ascii="Times New Roman" w:eastAsia="Times New Roman" w:hAnsi="Times New Roman" w:cs="Times New Roman"/>
          <w:color w:val="000000"/>
          <w:sz w:val="20"/>
          <w:szCs w:val="20"/>
          <w:rtl/>
        </w:rPr>
        <w:t>13:00-08:00 </w:t>
      </w:r>
      <w:r>
        <w:rPr>
          <w:rFonts w:ascii="Tahoma" w:eastAsia="Times New Roman" w:hAnsi="Tahoma" w:cs="Tahoma"/>
          <w:color w:val="000000"/>
          <w:sz w:val="20"/>
          <w:szCs w:val="20"/>
          <w:rtl/>
        </w:rPr>
        <w:t>וימי ב</w:t>
      </w:r>
      <w:r>
        <w:rPr>
          <w:rFonts w:ascii="Times New Roman" w:eastAsia="Times New Roman" w:hAnsi="Times New Roman" w:cs="Times New Roman"/>
          <w:color w:val="000000"/>
          <w:sz w:val="20"/>
          <w:szCs w:val="20"/>
          <w:rtl/>
        </w:rPr>
        <w:t>' </w:t>
      </w:r>
      <w:r>
        <w:rPr>
          <w:rFonts w:ascii="Tahoma" w:eastAsia="Times New Roman" w:hAnsi="Tahoma" w:cs="Tahoma"/>
          <w:color w:val="000000"/>
          <w:sz w:val="20"/>
          <w:szCs w:val="20"/>
          <w:rtl/>
        </w:rPr>
        <w:t>בין השעות </w:t>
      </w:r>
      <w:r>
        <w:rPr>
          <w:rFonts w:ascii="Times New Roman" w:eastAsia="Times New Roman" w:hAnsi="Times New Roman" w:cs="Times New Roman"/>
          <w:color w:val="000000"/>
          <w:sz w:val="20"/>
          <w:szCs w:val="20"/>
          <w:rtl/>
        </w:rPr>
        <w:t>16:00-17:30</w:t>
      </w:r>
    </w:p>
    <w:p>
      <w:pPr>
        <w:shd w:val="clear" w:color="auto" w:fill="FFFFFF"/>
        <w:spacing w:after="0" w:line="240" w:lineRule="auto"/>
        <w:jc w:val="both"/>
        <w:rPr>
          <w:rFonts w:ascii="Arial" w:eastAsia="Times New Roman" w:hAnsi="Arial" w:cs="Arial"/>
          <w:color w:val="000000"/>
          <w:sz w:val="20"/>
          <w:szCs w:val="20"/>
          <w:rtl/>
        </w:rPr>
      </w:pPr>
      <w:r>
        <w:rPr>
          <w:rFonts w:ascii="Tahoma" w:eastAsia="Times New Roman" w:hAnsi="Tahoma" w:cs="Tahoma"/>
          <w:b/>
          <w:bCs/>
          <w:color w:val="000000"/>
          <w:sz w:val="20"/>
          <w:szCs w:val="20"/>
          <w:rtl/>
        </w:rPr>
        <w:t> </w:t>
      </w:r>
    </w:p>
    <w:p>
      <w:pPr>
        <w:shd w:val="clear" w:color="auto" w:fill="FFFFFF"/>
        <w:spacing w:after="0" w:line="240" w:lineRule="auto"/>
        <w:jc w:val="both"/>
        <w:rPr>
          <w:rFonts w:ascii="Arial" w:eastAsia="Times New Roman" w:hAnsi="Arial" w:cs="Arial"/>
          <w:color w:val="000000"/>
          <w:sz w:val="20"/>
          <w:szCs w:val="20"/>
          <w:rtl/>
        </w:rPr>
      </w:pPr>
      <w:r>
        <w:rPr>
          <w:rFonts w:ascii="Tahoma" w:eastAsia="Times New Roman" w:hAnsi="Tahoma" w:cs="Tahoma"/>
          <w:b/>
          <w:bCs/>
          <w:color w:val="000000"/>
          <w:sz w:val="20"/>
          <w:szCs w:val="20"/>
          <w:rtl/>
        </w:rPr>
        <w:t>לתשומת לב הציבור: המכרז מיועד ליזמים/קבלנים/חברות בלבד אשר רוכשים זכויות בקרקע לבניית יחידות דיור.</w:t>
      </w:r>
    </w:p>
    <w:p>
      <w:pPr>
        <w:shd w:val="clear" w:color="auto" w:fill="FFFFFF"/>
        <w:spacing w:after="0" w:line="240" w:lineRule="auto"/>
        <w:jc w:val="both"/>
        <w:rPr>
          <w:rFonts w:ascii="Arial" w:eastAsia="Times New Roman" w:hAnsi="Arial" w:cs="Arial"/>
          <w:color w:val="000000"/>
          <w:sz w:val="20"/>
          <w:szCs w:val="20"/>
          <w:rtl/>
        </w:rPr>
      </w:pPr>
      <w:r>
        <w:rPr>
          <w:rFonts w:ascii="Tahoma" w:eastAsia="Times New Roman" w:hAnsi="Tahoma" w:cs="Tahoma"/>
          <w:b/>
          <w:bCs/>
          <w:color w:val="000000"/>
          <w:sz w:val="20"/>
          <w:szCs w:val="20"/>
        </w:rPr>
        <w:t> </w:t>
      </w:r>
    </w:p>
    <w:p>
      <w:pPr>
        <w:shd w:val="clear" w:color="auto" w:fill="FFFFFF"/>
        <w:spacing w:after="0" w:line="240" w:lineRule="auto"/>
        <w:jc w:val="both"/>
        <w:rPr>
          <w:rFonts w:ascii="Arial" w:eastAsia="Times New Roman" w:hAnsi="Arial" w:cs="Arial"/>
          <w:color w:val="000000"/>
          <w:sz w:val="20"/>
          <w:szCs w:val="20"/>
          <w:rtl/>
        </w:rPr>
      </w:pPr>
      <w:r>
        <w:rPr>
          <w:rFonts w:ascii="Tahoma" w:eastAsia="Times New Roman" w:hAnsi="Tahoma" w:cs="Tahoma"/>
          <w:b/>
          <w:bCs/>
          <w:color w:val="000000"/>
          <w:sz w:val="20"/>
          <w:szCs w:val="20"/>
          <w:rtl/>
        </w:rPr>
        <w:t>באשר לזכאים (רוכשי דירות): מידע בדבר ההגרלות יפורסם בהמשך.</w:t>
      </w:r>
    </w:p>
    <w:p>
      <w:pPr>
        <w:shd w:val="clear" w:color="auto" w:fill="FFFFFF"/>
        <w:spacing w:after="0" w:line="240" w:lineRule="auto"/>
        <w:jc w:val="both"/>
        <w:rPr>
          <w:rFonts w:ascii="Arial" w:eastAsia="Times New Roman" w:hAnsi="Arial" w:cs="Arial"/>
          <w:color w:val="000000"/>
          <w:sz w:val="20"/>
          <w:szCs w:val="20"/>
          <w:rtl/>
        </w:rPr>
      </w:pPr>
      <w:r>
        <w:rPr>
          <w:rFonts w:ascii="Tahoma" w:eastAsia="Times New Roman" w:hAnsi="Tahoma" w:cs="Tahoma"/>
          <w:b/>
          <w:bCs/>
          <w:color w:val="000000"/>
          <w:sz w:val="20"/>
          <w:szCs w:val="20"/>
          <w:rtl/>
        </w:rPr>
        <w:t> </w:t>
      </w:r>
    </w:p>
    <w:p>
      <w:pPr>
        <w:shd w:val="clear" w:color="auto" w:fill="FFFFFF"/>
        <w:spacing w:after="0" w:line="240" w:lineRule="auto"/>
        <w:jc w:val="both"/>
        <w:rPr>
          <w:rFonts w:ascii="Arial" w:eastAsia="Times New Roman" w:hAnsi="Arial" w:cs="Arial"/>
          <w:color w:val="000000"/>
          <w:sz w:val="20"/>
          <w:szCs w:val="20"/>
          <w:rtl/>
        </w:rPr>
      </w:pPr>
      <w:bookmarkStart w:id="16" w:name="NotHagashaMekuvenetText"/>
      <w:r>
        <w:rPr>
          <w:rFonts w:ascii="Tahoma" w:eastAsia="Times New Roman" w:hAnsi="Tahoma" w:cs="Tahoma"/>
          <w:color w:val="000000"/>
          <w:sz w:val="20"/>
          <w:szCs w:val="20"/>
          <w:rtl/>
        </w:rPr>
        <w:lastRenderedPageBreak/>
        <w:t>את ההצעה יש להגיש על גבי נספח א' לחוברת המכרז, בצירוף מסמכים רלוונטים כמתחייב מתנאי המכרז.</w:t>
      </w:r>
      <w:bookmarkEnd w:id="16"/>
    </w:p>
    <w:p>
      <w:pPr>
        <w:shd w:val="clear" w:color="auto" w:fill="FFFFFF"/>
        <w:spacing w:after="0" w:line="240" w:lineRule="auto"/>
        <w:jc w:val="both"/>
        <w:rPr>
          <w:rFonts w:ascii="Arial" w:eastAsia="Times New Roman" w:hAnsi="Arial" w:cs="Arial"/>
          <w:color w:val="000000"/>
          <w:sz w:val="20"/>
          <w:szCs w:val="20"/>
          <w:rtl/>
        </w:rPr>
      </w:pPr>
      <w:r>
        <w:rPr>
          <w:rFonts w:ascii="Tahoma" w:eastAsia="Times New Roman" w:hAnsi="Tahoma" w:cs="Tahoma"/>
          <w:color w:val="000000"/>
          <w:sz w:val="20"/>
          <w:szCs w:val="20"/>
          <w:rtl/>
        </w:rPr>
        <w:t> </w:t>
      </w:r>
    </w:p>
    <w:p>
      <w:pPr>
        <w:shd w:val="clear" w:color="auto" w:fill="FFFFFF"/>
        <w:spacing w:after="0" w:line="240" w:lineRule="auto"/>
        <w:jc w:val="both"/>
        <w:rPr>
          <w:rFonts w:ascii="Arial" w:eastAsia="Times New Roman" w:hAnsi="Arial" w:cs="Arial"/>
          <w:color w:val="000000"/>
          <w:sz w:val="20"/>
          <w:szCs w:val="20"/>
          <w:rtl/>
        </w:rPr>
      </w:pPr>
      <w:r>
        <w:rPr>
          <w:rFonts w:ascii="Tahoma" w:eastAsia="Times New Roman" w:hAnsi="Tahoma" w:cs="Tahoma"/>
          <w:color w:val="000000"/>
          <w:sz w:val="20"/>
          <w:szCs w:val="20"/>
          <w:rtl/>
        </w:rPr>
        <w:t>בנוסף, לכל הצעה יש לצרף פקדון בערבות בנקאית/ערבות מחברת ביטוח בלבד בסכום אשר יפורט בחוברת המכרז. מובהר בזאת כי במידה ותצורף המחאה בנקאית, ההצעה תיפסל.</w:t>
      </w:r>
    </w:p>
    <w:p>
      <w:pPr>
        <w:shd w:val="clear" w:color="auto" w:fill="FFFFFF"/>
        <w:spacing w:after="0" w:line="240" w:lineRule="auto"/>
        <w:jc w:val="both"/>
        <w:rPr>
          <w:rFonts w:ascii="Arial" w:eastAsia="Times New Roman" w:hAnsi="Arial" w:cs="Arial"/>
          <w:color w:val="000000"/>
          <w:sz w:val="20"/>
          <w:szCs w:val="20"/>
          <w:rtl/>
        </w:rPr>
      </w:pPr>
      <w:r>
        <w:rPr>
          <w:rFonts w:ascii="Tahoma" w:eastAsia="Times New Roman" w:hAnsi="Tahoma" w:cs="Tahoma"/>
          <w:color w:val="000000"/>
          <w:sz w:val="20"/>
          <w:szCs w:val="20"/>
          <w:rtl/>
        </w:rPr>
        <w:t> </w:t>
      </w:r>
    </w:p>
    <w:p>
      <w:pPr>
        <w:shd w:val="clear" w:color="auto" w:fill="FFFFFF"/>
        <w:spacing w:after="0" w:line="240" w:lineRule="auto"/>
        <w:jc w:val="both"/>
        <w:rPr>
          <w:rFonts w:ascii="Arial" w:eastAsia="Times New Roman" w:hAnsi="Arial" w:cs="Arial"/>
          <w:color w:val="000000"/>
          <w:sz w:val="20"/>
          <w:szCs w:val="20"/>
          <w:rtl/>
        </w:rPr>
      </w:pPr>
      <w:r>
        <w:rPr>
          <w:rFonts w:ascii="Tahoma" w:eastAsia="Times New Roman" w:hAnsi="Tahoma" w:cs="Tahoma"/>
          <w:color w:val="000000"/>
          <w:sz w:val="20"/>
          <w:szCs w:val="20"/>
          <w:rtl/>
        </w:rPr>
        <w:t>המועד האחרון להגשת ההצעות למכרז הוא בתאריך 02/03/2020  בשעה 12:00 בצהרים.</w:t>
      </w:r>
    </w:p>
    <w:p>
      <w:pPr>
        <w:shd w:val="clear" w:color="auto" w:fill="FFFFFF"/>
        <w:spacing w:after="0" w:line="240" w:lineRule="auto"/>
        <w:jc w:val="both"/>
        <w:rPr>
          <w:rFonts w:ascii="Arial" w:eastAsia="Times New Roman" w:hAnsi="Arial" w:cs="Arial"/>
          <w:color w:val="000000"/>
          <w:sz w:val="20"/>
          <w:szCs w:val="20"/>
          <w:rtl/>
        </w:rPr>
      </w:pPr>
      <w:r>
        <w:rPr>
          <w:rFonts w:ascii="Tahoma" w:eastAsia="Times New Roman" w:hAnsi="Tahoma" w:cs="Tahoma"/>
          <w:color w:val="000000"/>
          <w:sz w:val="20"/>
          <w:szCs w:val="20"/>
          <w:rtl/>
        </w:rPr>
        <w:t> </w:t>
      </w:r>
    </w:p>
    <w:p>
      <w:pPr>
        <w:shd w:val="clear" w:color="auto" w:fill="FFFFFF"/>
        <w:spacing w:after="0" w:line="240" w:lineRule="auto"/>
        <w:jc w:val="both"/>
        <w:rPr>
          <w:rFonts w:ascii="Arial" w:eastAsia="Times New Roman" w:hAnsi="Arial" w:cs="Arial"/>
          <w:color w:val="000000"/>
          <w:sz w:val="20"/>
          <w:szCs w:val="20"/>
          <w:rtl/>
        </w:rPr>
      </w:pPr>
      <w:r>
        <w:rPr>
          <w:rFonts w:ascii="Tahoma" w:eastAsia="Times New Roman" w:hAnsi="Tahoma" w:cs="Tahoma"/>
          <w:color w:val="000000"/>
          <w:sz w:val="20"/>
          <w:szCs w:val="20"/>
          <w:rtl/>
        </w:rPr>
        <w:t>הצעה שלא תימצא בתיבת המכרז בכתובת הרשומה לעיל, ביום ובשעה האמורים </w:t>
      </w:r>
      <w:r>
        <w:rPr>
          <w:rFonts w:ascii="Tahoma" w:eastAsia="Times New Roman" w:hAnsi="Tahoma" w:cs="Tahoma"/>
          <w:color w:val="000000"/>
          <w:sz w:val="20"/>
          <w:szCs w:val="20"/>
        </w:rPr>
        <w:t>–</w:t>
      </w:r>
      <w:r>
        <w:rPr>
          <w:rFonts w:ascii="Tahoma" w:eastAsia="Times New Roman" w:hAnsi="Tahoma" w:cs="Tahoma"/>
          <w:color w:val="000000"/>
          <w:sz w:val="20"/>
          <w:szCs w:val="20"/>
          <w:rtl/>
        </w:rPr>
        <w:t> מסיבה כלשהיא - לא תדון.</w:t>
      </w:r>
    </w:p>
    <w:p>
      <w:pPr>
        <w:shd w:val="clear" w:color="auto" w:fill="FFFFFF"/>
        <w:spacing w:after="0" w:line="240" w:lineRule="auto"/>
        <w:jc w:val="both"/>
        <w:rPr>
          <w:rFonts w:ascii="Arial" w:eastAsia="Times New Roman" w:hAnsi="Arial" w:cs="Arial"/>
          <w:color w:val="000000"/>
          <w:sz w:val="20"/>
          <w:szCs w:val="20"/>
          <w:rtl/>
        </w:rPr>
      </w:pPr>
      <w:bookmarkStart w:id="17" w:name="HagashaMekuvenetText1"/>
      <w:bookmarkEnd w:id="17"/>
      <w:r>
        <w:rPr>
          <w:rFonts w:ascii="Tahoma" w:eastAsia="Times New Roman" w:hAnsi="Tahoma" w:cs="Tahoma"/>
          <w:color w:val="000000"/>
          <w:sz w:val="20"/>
          <w:szCs w:val="20"/>
          <w:rtl/>
        </w:rPr>
        <w:t> </w:t>
      </w:r>
    </w:p>
    <w:p>
      <w:pPr>
        <w:shd w:val="clear" w:color="auto" w:fill="FFFFFF"/>
        <w:spacing w:after="0" w:line="240" w:lineRule="auto"/>
        <w:jc w:val="both"/>
        <w:rPr>
          <w:rFonts w:ascii="Arial" w:eastAsia="Times New Roman" w:hAnsi="Arial" w:cs="Arial"/>
          <w:color w:val="000000"/>
          <w:sz w:val="20"/>
          <w:szCs w:val="20"/>
          <w:rtl/>
        </w:rPr>
      </w:pPr>
      <w:r>
        <w:rPr>
          <w:rFonts w:ascii="Tahoma" w:eastAsia="Times New Roman" w:hAnsi="Tahoma" w:cs="Tahoma"/>
          <w:color w:val="000000"/>
          <w:sz w:val="20"/>
          <w:szCs w:val="20"/>
          <w:rtl/>
        </w:rPr>
        <w:t>פרסום זה הינו לידיעה בלבד ואין באמור בו כדי לחייב את הרשות והמשרד בכל צורה שהיא, לא מבחינת תוכנו ולא לגבי המועדים הנזכרים בו. התנאים המחייבים הם אלה אשר יופיעו בחוברת המכרז על כל נספחיה.</w:t>
      </w:r>
    </w:p>
    <w:p>
      <w:pPr>
        <w:shd w:val="clear" w:color="auto" w:fill="FFFFFF"/>
        <w:spacing w:after="0" w:line="240" w:lineRule="auto"/>
        <w:jc w:val="both"/>
        <w:rPr>
          <w:rFonts w:ascii="Arial" w:eastAsia="Times New Roman" w:hAnsi="Arial" w:cs="Arial"/>
          <w:color w:val="000000"/>
          <w:sz w:val="20"/>
          <w:szCs w:val="20"/>
          <w:rtl/>
        </w:rPr>
      </w:pPr>
      <w:r>
        <w:rPr>
          <w:rFonts w:ascii="Tahoma" w:eastAsia="Times New Roman" w:hAnsi="Tahoma" w:cs="Tahoma"/>
          <w:color w:val="000000"/>
          <w:sz w:val="20"/>
          <w:szCs w:val="20"/>
          <w:rtl/>
        </w:rPr>
        <w:t> </w:t>
      </w:r>
    </w:p>
    <w:p>
      <w:pPr>
        <w:shd w:val="clear" w:color="auto" w:fill="FFFFFF"/>
        <w:spacing w:after="0" w:line="240" w:lineRule="auto"/>
        <w:jc w:val="both"/>
        <w:rPr>
          <w:rFonts w:ascii="Arial" w:eastAsia="Times New Roman" w:hAnsi="Arial" w:cs="Arial"/>
          <w:color w:val="000000"/>
          <w:sz w:val="20"/>
          <w:szCs w:val="20"/>
          <w:rtl/>
        </w:rPr>
      </w:pPr>
      <w:r>
        <w:rPr>
          <w:rFonts w:ascii="Tahoma" w:eastAsia="Times New Roman" w:hAnsi="Tahoma" w:cs="Tahoma"/>
          <w:color w:val="000000"/>
          <w:sz w:val="20"/>
          <w:szCs w:val="20"/>
          <w:rtl/>
        </w:rPr>
        <w:t>על המציעים להתעדכן באתר רמ"י בגין כל שינוי במכרז עד למועד סגירתו.</w:t>
      </w:r>
    </w:p>
    <w:p>
      <w:pPr>
        <w:shd w:val="clear" w:color="auto" w:fill="FFFFFF"/>
        <w:spacing w:after="0" w:line="240" w:lineRule="auto"/>
        <w:jc w:val="both"/>
        <w:rPr>
          <w:rFonts w:ascii="Arial" w:eastAsia="Times New Roman" w:hAnsi="Arial" w:cs="Arial"/>
          <w:color w:val="000000"/>
          <w:sz w:val="20"/>
          <w:szCs w:val="20"/>
          <w:rtl/>
        </w:rPr>
      </w:pPr>
      <w:r>
        <w:rPr>
          <w:rFonts w:ascii="Tahoma" w:eastAsia="Times New Roman" w:hAnsi="Tahoma" w:cs="Tahoma"/>
          <w:color w:val="000000"/>
          <w:sz w:val="20"/>
          <w:szCs w:val="20"/>
          <w:rtl/>
        </w:rPr>
        <w:t> </w:t>
      </w:r>
    </w:p>
    <w:p>
      <w:pPr>
        <w:shd w:val="clear" w:color="auto" w:fill="FFFFFF"/>
        <w:spacing w:after="0" w:line="240" w:lineRule="auto"/>
        <w:rPr>
          <w:rFonts w:ascii="Arial" w:eastAsia="Times New Roman" w:hAnsi="Arial" w:cs="Arial"/>
          <w:color w:val="000000"/>
          <w:sz w:val="20"/>
          <w:szCs w:val="20"/>
          <w:rtl/>
        </w:rPr>
      </w:pPr>
      <w:r>
        <w:rPr>
          <w:rFonts w:ascii="Tahoma" w:eastAsia="Times New Roman" w:hAnsi="Tahoma" w:cs="Tahoma"/>
          <w:b/>
          <w:bCs/>
          <w:color w:val="000000"/>
          <w:sz w:val="20"/>
          <w:szCs w:val="20"/>
          <w:rtl/>
        </w:rPr>
        <w:t> </w:t>
      </w:r>
    </w:p>
    <w:p>
      <w:pPr>
        <w:shd w:val="clear" w:color="auto" w:fill="FFFFFF"/>
        <w:spacing w:after="0" w:line="240" w:lineRule="auto"/>
        <w:rPr>
          <w:rFonts w:ascii="Arial" w:eastAsia="Times New Roman" w:hAnsi="Arial" w:cs="Arial"/>
          <w:color w:val="000000"/>
          <w:sz w:val="20"/>
          <w:szCs w:val="20"/>
          <w:rtl/>
        </w:rPr>
      </w:pPr>
      <w:r>
        <w:rPr>
          <w:rFonts w:ascii="Times New Roman" w:eastAsia="Times New Roman" w:hAnsi="Times New Roman" w:cs="Times New Roman"/>
          <w:color w:val="000000"/>
          <w:sz w:val="20"/>
          <w:szCs w:val="20"/>
          <w:rtl/>
        </w:rPr>
        <w:t> </w:t>
      </w:r>
    </w:p>
    <w:p>
      <w:pPr>
        <w:shd w:val="clear" w:color="auto" w:fill="FFFFFF"/>
        <w:bidi w:val="0"/>
        <w:spacing w:after="0" w:line="240" w:lineRule="auto"/>
        <w:rPr>
          <w:rFonts w:ascii="Arial" w:eastAsia="Times New Roman" w:hAnsi="Arial" w:cs="Arial"/>
          <w:color w:val="000000"/>
          <w:sz w:val="24"/>
          <w:szCs w:val="24"/>
          <w:rtl/>
        </w:rPr>
      </w:pPr>
      <w:r>
        <w:rPr>
          <w:rFonts w:ascii="Times New Roman" w:eastAsia="Times New Roman" w:hAnsi="Times New Roman" w:cs="Times New Roman"/>
          <w:color w:val="000000"/>
          <w:sz w:val="24"/>
          <w:szCs w:val="24"/>
          <w:rtl/>
        </w:rPr>
        <w:t> </w:t>
      </w:r>
    </w:p>
    <w:p>
      <w:pPr>
        <w:rPr>
          <w:rFonts w:hint="cs"/>
        </w:rPr>
      </w:pPr>
    </w:p>
    <w:sectPr>
      <w:pgSz w:w="11906" w:h="16838"/>
      <w:pgMar w:top="1440" w:right="1800" w:bottom="1440" w:left="1800" w:header="708" w:footer="708" w:gutter="0"/>
      <w:cols w:space="708"/>
      <w:bidi/>
      <w:rtlGutter/>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Calibri">
    <w:panose1 w:val="020F0502020204030204"/>
    <w:charset w:val="00"/>
    <w:family w:val="swiss"/>
    <w:pitch w:val="variable"/>
    <w:sig w:usb0="E0002AFF" w:usb1="C000247B" w:usb2="00000009" w:usb3="00000000" w:csb0="000001FF" w:csb1="00000000"/>
  </w:font>
  <w:font w:name="Arial">
    <w:panose1 w:val="020B0604020202020204"/>
    <w:charset w:val="00"/>
    <w:family w:val="swiss"/>
    <w:pitch w:val="variable"/>
    <w:sig w:usb0="E0002EFF" w:usb1="C0007843"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Tahoma">
    <w:panose1 w:val="020B0604030504040204"/>
    <w:charset w:val="00"/>
    <w:family w:val="swiss"/>
    <w:pitch w:val="variable"/>
    <w:sig w:usb0="E1002EFF" w:usb1="C000605B" w:usb2="00000029" w:usb3="00000000" w:csb0="000101FF" w:csb1="00000000"/>
  </w:font>
  <w:font w:name="Calibri Light">
    <w:panose1 w:val="020F0302020204030204"/>
    <w:charset w:val="00"/>
    <w:family w:val="swiss"/>
    <w:pitch w:val="variable"/>
    <w:sig w:usb0="E0002AFF" w:usb1="C000247B" w:usb2="00000009" w:usb3="00000000" w:csb0="000001F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00"/>
  <w:defaultTabStop w:val="720"/>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m:mathPr>
    <m:mathFont m:val="Cambria Math"/>
    <m:brkBin m:val="before"/>
    <m:brkBinSub m:val="--"/>
    <m:smallFrac m:val="0"/>
    <m:dispDef/>
    <m:lMargin m:val="0"/>
    <m:rMargin m:val="0"/>
    <m:defJc m:val="centerGroup"/>
    <m:wrapIndent m:val="1440"/>
    <m:intLim m:val="subSup"/>
    <m:naryLim m:val="undOvr"/>
  </m:mathPr>
  <w:themeFontLang w:val="en-US" w:bidi="he-IL"/>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5:chartTrackingRefBased/>
  <w15:docId w15:val="{4F13D039-5504-4F14-A8D8-DD1D5CC0D76A}"/>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Theme="minorHAnsi" w:eastAsiaTheme="minorHAnsi" w:hAnsiTheme="minorHAnsi" w:cstheme="minorBidi"/>
        <w:sz w:val="22"/>
        <w:szCs w:val="22"/>
        <w:lang w:val="en-US" w:eastAsia="en-US" w:bidi="he-IL"/>
      </w:rPr>
    </w:rPrDefault>
    <w:pPrDefault>
      <w:pPr>
        <w:spacing w:after="160" w:line="259"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a">
    <w:name w:val="Normal"/>
    <w:qFormat/>
    <w:pPr>
      <w:bidi/>
    </w:p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ivs>
    <w:div w:id="2006587480">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3" Type="http://schemas.openxmlformats.org/officeDocument/2006/relationships/webSettings" Target="webSettings.xml"/><Relationship Id="rId2" Type="http://schemas.openxmlformats.org/officeDocument/2006/relationships/settings" Target="settings.xml"/><Relationship Id="rId1" Type="http://schemas.openxmlformats.org/officeDocument/2006/relationships/styles" Target="styles.xml"/><Relationship Id="rId5" Type="http://schemas.openxmlformats.org/officeDocument/2006/relationships/theme" Target="theme/theme1.xml"/><Relationship Id="rId4" Type="http://schemas.openxmlformats.org/officeDocument/2006/relationships/fontTable" Target="fontTable.xml"/></Relationships>
</file>

<file path=word/theme/theme1.xml><?xml version="1.0" encoding="utf-8"?>
<a:theme xmlns:a="http://schemas.openxmlformats.org/drawingml/2006/main" name="ערכת נושא Offic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1</TotalTime>
  <Pages>3</Pages>
  <Words>537</Words>
  <Characters>2689</Characters>
  <Application>Microsoft Office Word</Application>
  <DocSecurity>0</DocSecurity>
  <Lines>22</Lines>
  <Paragraphs>6</Paragraphs>
  <ScaleCrop>false</ScaleCrop>
  <Company/>
  <LinksUpToDate>false</LinksUpToDate>
  <CharactersWithSpaces>3220</CharactersWithSpaces>
  <SharedDoc>false</SharedDoc>
  <HyperlinksChanged>false</HyperlinksChanged>
  <AppVersion>15.0000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User</dc:creator>
  <cp:keywords/>
  <dc:description/>
  <cp:lastModifiedBy>User</cp:lastModifiedBy>
  <cp:revision>1</cp:revision>
  <dcterms:created xsi:type="dcterms:W3CDTF">2020-06-24T08:10:00Z</dcterms:created>
  <dcterms:modified xsi:type="dcterms:W3CDTF">2020-06-24T08:11:00Z</dcterms:modified>
</cp:coreProperties>
</file>