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6961A1" w14:textId="77777777" w:rsidR="002C2E29" w:rsidRPr="00E635A2" w:rsidRDefault="004033D8" w:rsidP="00E635A2">
      <w:pPr>
        <w:jc w:val="right"/>
        <w:rPr>
          <w:b/>
          <w:bCs/>
          <w:sz w:val="20"/>
          <w:szCs w:val="20"/>
        </w:rPr>
      </w:pPr>
      <w:r w:rsidRPr="00E635A2">
        <w:rPr>
          <w:rFonts w:hint="cs"/>
          <w:sz w:val="20"/>
          <w:szCs w:val="20"/>
          <w:rtl/>
        </w:rPr>
        <w:t xml:space="preserve">מספר פנימי: </w:t>
      </w:r>
      <w:bookmarkStart w:id="0" w:name="LGS_Internal_ID"/>
      <w:r>
        <w:rPr>
          <w:rFonts w:hint="cs"/>
          <w:sz w:val="20"/>
          <w:szCs w:val="20"/>
          <w:rtl/>
        </w:rPr>
        <w:t>2210349</w:t>
      </w:r>
      <w:bookmarkEnd w:id="0"/>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1" w:name="LGS_Knesset_Num"/>
      <w:r>
        <w:rPr>
          <w:rFonts w:hint="cs"/>
          <w:sz w:val="28"/>
          <w:szCs w:val="28"/>
          <w:rtl/>
        </w:rPr>
        <w:t>העשרים וחמש</w:t>
      </w:r>
      <w:bookmarkEnd w:id="1"/>
    </w:p>
    <w:p w14:paraId="7F6961A3" w14:textId="77777777" w:rsidR="00E13C27" w:rsidRPr="00F67051" w:rsidRDefault="00E13C27" w:rsidP="00E13C27">
      <w:pPr>
        <w:rPr>
          <w:b/>
          <w:bCs/>
          <w:sz w:val="26"/>
          <w:szCs w:val="26"/>
          <w:rtl/>
        </w:rPr>
      </w:pPr>
    </w:p>
    <w:p w14:paraId="7F6961AA" w14:textId="392522DB" w:rsidR="00E13C27" w:rsidRPr="00CF1AA2" w:rsidRDefault="008F6665" w:rsidP="00466176">
      <w:pPr>
        <w:pStyle w:val="David"/>
        <w:spacing w:before="102"/>
        <w:ind w:left="3544"/>
        <w:rPr>
          <w:b/>
          <w:bCs/>
          <w:sz w:val="16"/>
          <w:szCs w:val="16"/>
          <w:rtl/>
        </w:rPr>
      </w:pPr>
      <w:bookmarkStart w:id="2" w:name="LGS_Initiators_List"/>
      <w:r>
        <w:rPr>
          <w:b/>
          <w:bCs/>
          <w:rtl/>
        </w:rPr>
        <w:t>יוזם:</w:t>
      </w:r>
      <w:r>
        <w:tab/>
      </w:r>
      <w:r>
        <w:rPr>
          <w:b/>
          <w:bCs/>
          <w:rtl/>
        </w:rPr>
        <w:t xml:space="preserve">      חבר הכנסת</w:t>
      </w:r>
      <w:bookmarkEnd w:id="2"/>
      <w:r w:rsidR="00B35784" w:rsidRPr="00F67051">
        <w:rPr>
          <w:b/>
          <w:bCs/>
        </w:rPr>
        <w:tab/>
      </w:r>
      <w:bookmarkStart w:id="3" w:name="LGS_PM_Names"/>
      <w:r>
        <w:rPr>
          <w:rFonts w:hint="cs"/>
          <w:b/>
          <w:bCs/>
          <w:rtl/>
        </w:rPr>
        <w:t>דן אילוז</w:t>
      </w:r>
      <w:bookmarkStart w:id="4" w:name="LGS_Join_List"/>
      <w:bookmarkEnd w:id="3"/>
      <w:r w:rsidR="007D585A">
        <w:rPr>
          <w:rtl/>
        </w:rPr>
        <w:t xml:space="preserve"> </w:t>
      </w:r>
      <w:bookmarkEnd w:id="4"/>
      <w:r w:rsidR="002200A1" w:rsidRPr="00CF1AA2">
        <w:rPr>
          <w:rFonts w:hint="cs"/>
          <w:rtl/>
        </w:rPr>
        <w:tab/>
      </w:r>
      <w:bookmarkStart w:id="5" w:name="LGS_PM_NamesJoin"/>
      <w:r w:rsidR="007D585A">
        <w:rPr>
          <w:rFonts w:hint="cs"/>
          <w:rtl/>
        </w:rPr>
        <w:t xml:space="preserve"> </w:t>
      </w:r>
      <w:bookmarkEnd w:id="5"/>
    </w:p>
    <w:p w14:paraId="34DB4103" w14:textId="77777777" w:rsidR="00904591" w:rsidRPr="00904591" w:rsidRDefault="00266D86" w:rsidP="0036422C">
      <w:pPr>
        <w:pStyle w:val="David"/>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C" w14:textId="12878AB4" w:rsidR="00E13C27" w:rsidRDefault="00904591" w:rsidP="00466176">
      <w:pPr>
        <w:pStyle w:val="David"/>
        <w:spacing w:line="240" w:lineRule="auto"/>
        <w:ind w:left="6424" w:firstLine="56"/>
        <w:rPr>
          <w:rtl/>
        </w:rPr>
      </w:pPr>
      <w:bookmarkStart w:id="6" w:name="Private_Number"/>
      <w:r>
        <w:rPr>
          <w:rFonts w:hint="cs"/>
          <w:rtl/>
        </w:rPr>
        <w:t>פ/4078/25</w:t>
      </w:r>
      <w:bookmarkEnd w:id="6"/>
    </w:p>
    <w:p w14:paraId="7F6961AD" w14:textId="77777777" w:rsidR="00E13C27" w:rsidRPr="00F67051" w:rsidRDefault="00A443CF" w:rsidP="0021633A">
      <w:pPr>
        <w:pStyle w:val="HeadHatzaotHok"/>
        <w:rPr>
          <w:rtl/>
        </w:rPr>
      </w:pPr>
      <w:bookmarkStart w:id="7" w:name="LGS_Subject"/>
      <w:r>
        <w:rPr>
          <w:rFonts w:hint="cs"/>
          <w:rtl/>
        </w:rPr>
        <w:t>הצעת חוק התכנון והבנייה (תיקון – פיצול דירות) (הוראת שעה), התשפ"ד–2023</w:t>
      </w:r>
      <w:bookmarkEnd w:id="7"/>
    </w:p>
    <w:p w14:paraId="7F6961AE" w14:textId="36FEB47D" w:rsidR="00E13C27" w:rsidRDefault="00E13C27" w:rsidP="0021633A">
      <w:pPr>
        <w:pStyle w:val="HeadDivreiHesber"/>
        <w:spacing w:before="0" w:after="0"/>
        <w:rPr>
          <w:rtl/>
        </w:rPr>
      </w:pP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19"/>
      </w:tblGrid>
      <w:tr w:rsidR="00EC22F0" w14:paraId="30424A74" w14:textId="77777777" w:rsidTr="00466176">
        <w:trPr>
          <w:cantSplit/>
        </w:trPr>
        <w:tc>
          <w:tcPr>
            <w:tcW w:w="1871" w:type="dxa"/>
          </w:tcPr>
          <w:p w14:paraId="379A2B09" w14:textId="77777777" w:rsidR="00EC22F0" w:rsidRDefault="00EC22F0" w:rsidP="00A05BFA">
            <w:pPr>
              <w:pStyle w:val="TableSideHeading"/>
              <w:keepLines w:val="0"/>
            </w:pPr>
            <w:r w:rsidRPr="005611E1">
              <w:rPr>
                <w:rFonts w:hint="cs"/>
                <w:rtl/>
              </w:rPr>
              <w:t>תיקון סעיף 145 והתוספת השלישית</w:t>
            </w:r>
            <w:r>
              <w:rPr>
                <w:rFonts w:hint="cs"/>
                <w:rtl/>
              </w:rPr>
              <w:t xml:space="preserve"> </w:t>
            </w:r>
            <w:r w:rsidRPr="005611E1">
              <w:rPr>
                <w:rFonts w:hint="cs"/>
                <w:rtl/>
              </w:rPr>
              <w:t>– הוראת שעה</w:t>
            </w:r>
            <w:r>
              <w:rPr>
                <w:rFonts w:hint="cs"/>
                <w:rtl/>
              </w:rPr>
              <w:t xml:space="preserve"> </w:t>
            </w:r>
          </w:p>
        </w:tc>
        <w:tc>
          <w:tcPr>
            <w:tcW w:w="624" w:type="dxa"/>
          </w:tcPr>
          <w:p w14:paraId="3071D3C2" w14:textId="77777777" w:rsidR="00EC22F0" w:rsidRDefault="00EC22F0" w:rsidP="00A05BFA">
            <w:pPr>
              <w:pStyle w:val="TableText"/>
              <w:keepLines w:val="0"/>
            </w:pPr>
            <w:r>
              <w:rPr>
                <w:rFonts w:hint="cs"/>
                <w:rtl/>
              </w:rPr>
              <w:t>1.</w:t>
            </w:r>
          </w:p>
        </w:tc>
        <w:tc>
          <w:tcPr>
            <w:tcW w:w="7143" w:type="dxa"/>
            <w:gridSpan w:val="2"/>
          </w:tcPr>
          <w:p w14:paraId="19D58B00" w14:textId="1BDF248E" w:rsidR="00EC22F0" w:rsidRPr="00C34DE2" w:rsidRDefault="00EC22F0" w:rsidP="00466176">
            <w:pPr>
              <w:pStyle w:val="TableBlock"/>
            </w:pPr>
            <w:r w:rsidRPr="008B7985">
              <w:rPr>
                <w:rtl/>
              </w:rPr>
              <w:t xml:space="preserve">בתקופה של חמש שנים מיום תחילתו של חוק זה יקראו את הסעיפים המפורטים להלן בחוק </w:t>
            </w:r>
            <w:r>
              <w:rPr>
                <w:rtl/>
              </w:rPr>
              <w:t>התכנון והבנ</w:t>
            </w:r>
            <w:r>
              <w:rPr>
                <w:rFonts w:hint="cs"/>
                <w:rtl/>
              </w:rPr>
              <w:t>יי</w:t>
            </w:r>
            <w:r w:rsidRPr="008B7985">
              <w:rPr>
                <w:rtl/>
              </w:rPr>
              <w:t>ה,</w:t>
            </w:r>
            <w:r>
              <w:rPr>
                <w:rFonts w:hint="cs"/>
                <w:rtl/>
              </w:rPr>
              <w:t xml:space="preserve"> התשכ"ה</w:t>
            </w:r>
            <w:r>
              <w:rPr>
                <w:rFonts w:hint="eastAsia"/>
                <w:rtl/>
              </w:rPr>
              <w:t>–</w:t>
            </w:r>
            <w:r>
              <w:rPr>
                <w:rFonts w:hint="cs"/>
                <w:rtl/>
              </w:rPr>
              <w:t>1965</w:t>
            </w:r>
            <w:r w:rsidRPr="00466176">
              <w:rPr>
                <w:rStyle w:val="a6"/>
                <w:rFonts w:ascii="David" w:hAnsi="David"/>
                <w:sz w:val="26"/>
                <w:rtl/>
              </w:rPr>
              <w:footnoteReference w:id="2"/>
            </w:r>
            <w:r>
              <w:rPr>
                <w:rFonts w:hint="cs"/>
                <w:rtl/>
              </w:rPr>
              <w:t>, כך:</w:t>
            </w:r>
          </w:p>
        </w:tc>
      </w:tr>
      <w:tr w:rsidR="00EC22F0" w14:paraId="5EBF33D9" w14:textId="77777777" w:rsidTr="00466176">
        <w:trPr>
          <w:cantSplit/>
        </w:trPr>
        <w:tc>
          <w:tcPr>
            <w:tcW w:w="1871" w:type="dxa"/>
          </w:tcPr>
          <w:p w14:paraId="7A2F1A9B" w14:textId="77777777" w:rsidR="00EC22F0" w:rsidRDefault="00EC22F0" w:rsidP="00A05BFA">
            <w:pPr>
              <w:pStyle w:val="TableSideHeading"/>
            </w:pPr>
          </w:p>
        </w:tc>
        <w:tc>
          <w:tcPr>
            <w:tcW w:w="624" w:type="dxa"/>
          </w:tcPr>
          <w:p w14:paraId="7C1C9DAC" w14:textId="77777777" w:rsidR="00EC22F0" w:rsidRDefault="00EC22F0" w:rsidP="00A05BFA">
            <w:pPr>
              <w:pStyle w:val="TableText"/>
            </w:pPr>
          </w:p>
        </w:tc>
        <w:tc>
          <w:tcPr>
            <w:tcW w:w="624" w:type="dxa"/>
          </w:tcPr>
          <w:p w14:paraId="70D9C8F1" w14:textId="77777777" w:rsidR="00EC22F0" w:rsidRDefault="00EC22F0" w:rsidP="00A05BFA">
            <w:pPr>
              <w:pStyle w:val="TableText"/>
            </w:pPr>
            <w:r>
              <w:rPr>
                <w:rFonts w:hint="cs"/>
                <w:rtl/>
              </w:rPr>
              <w:t>(1)</w:t>
            </w:r>
          </w:p>
        </w:tc>
        <w:tc>
          <w:tcPr>
            <w:tcW w:w="6519" w:type="dxa"/>
          </w:tcPr>
          <w:p w14:paraId="6DFEB052" w14:textId="77777777" w:rsidR="00EC22F0" w:rsidRDefault="00EC22F0" w:rsidP="00466176">
            <w:pPr>
              <w:pStyle w:val="TableBlock"/>
              <w:tabs>
                <w:tab w:val="left" w:pos="624"/>
                <w:tab w:val="left" w:pos="1247"/>
              </w:tabs>
            </w:pPr>
            <w:r>
              <w:rPr>
                <w:rFonts w:hint="cs"/>
                <w:rtl/>
              </w:rPr>
              <w:t>ב</w:t>
            </w:r>
            <w:r w:rsidRPr="008B7985">
              <w:rPr>
                <w:rtl/>
              </w:rPr>
              <w:t>סעיף 145, אחרי סעיף קטן (א</w:t>
            </w:r>
            <w:r>
              <w:rPr>
                <w:rFonts w:hint="cs"/>
                <w:rtl/>
              </w:rPr>
              <w:t>3</w:t>
            </w:r>
            <w:r w:rsidRPr="008B7985">
              <w:rPr>
                <w:rtl/>
              </w:rPr>
              <w:t>) יבוא</w:t>
            </w:r>
            <w:r>
              <w:rPr>
                <w:rFonts w:hint="cs"/>
                <w:rtl/>
              </w:rPr>
              <w:t>:</w:t>
            </w:r>
          </w:p>
        </w:tc>
      </w:tr>
      <w:tr w:rsidR="00EC22F0" w14:paraId="417E9632" w14:textId="77777777" w:rsidTr="00466176">
        <w:trPr>
          <w:cantSplit/>
        </w:trPr>
        <w:tc>
          <w:tcPr>
            <w:tcW w:w="1871" w:type="dxa"/>
          </w:tcPr>
          <w:p w14:paraId="6834E19F" w14:textId="77777777" w:rsidR="00EC22F0" w:rsidRDefault="00EC22F0" w:rsidP="00A05BFA">
            <w:pPr>
              <w:pStyle w:val="TableSideHeading"/>
              <w:rPr>
                <w:rtl/>
              </w:rPr>
            </w:pPr>
          </w:p>
        </w:tc>
        <w:tc>
          <w:tcPr>
            <w:tcW w:w="624" w:type="dxa"/>
          </w:tcPr>
          <w:p w14:paraId="4FC09024" w14:textId="77777777" w:rsidR="00EC22F0" w:rsidRDefault="00EC22F0" w:rsidP="00A05BFA">
            <w:pPr>
              <w:pStyle w:val="TableText"/>
            </w:pPr>
          </w:p>
        </w:tc>
        <w:tc>
          <w:tcPr>
            <w:tcW w:w="624" w:type="dxa"/>
          </w:tcPr>
          <w:p w14:paraId="296686D4" w14:textId="77777777" w:rsidR="00EC22F0" w:rsidRDefault="00EC22F0" w:rsidP="00A05BFA">
            <w:pPr>
              <w:pStyle w:val="TableText"/>
              <w:rPr>
                <w:rtl/>
              </w:rPr>
            </w:pPr>
          </w:p>
        </w:tc>
        <w:tc>
          <w:tcPr>
            <w:tcW w:w="6519" w:type="dxa"/>
          </w:tcPr>
          <w:p w14:paraId="5D4F2D02" w14:textId="77777777" w:rsidR="00EC22F0" w:rsidRDefault="00EC22F0" w:rsidP="00466176">
            <w:pPr>
              <w:pStyle w:val="TableBlock"/>
              <w:tabs>
                <w:tab w:val="left" w:pos="624"/>
                <w:tab w:val="left" w:pos="1247"/>
              </w:tabs>
              <w:rPr>
                <w:rtl/>
              </w:rPr>
            </w:pPr>
            <w:r w:rsidRPr="00B5376A">
              <w:rPr>
                <w:rtl/>
              </w:rPr>
              <w:t>"(א</w:t>
            </w:r>
            <w:r>
              <w:rPr>
                <w:rFonts w:hint="cs"/>
                <w:rtl/>
              </w:rPr>
              <w:t>4</w:t>
            </w:r>
            <w:r w:rsidRPr="00B5376A">
              <w:rPr>
                <w:rtl/>
              </w:rPr>
              <w:t>)</w:t>
            </w:r>
            <w:r>
              <w:rPr>
                <w:rtl/>
              </w:rPr>
              <w:tab/>
            </w:r>
            <w:r w:rsidRPr="00B5376A">
              <w:rPr>
                <w:rtl/>
              </w:rPr>
              <w:t>על אף האמור בסעיף קטן (א)(2), שינוי בבניין המגדיל את מספרן של יחידות הדיור בו על ידי חלוקתה של דירה קיימת למספר יחידות דיור לא יחייב היתר אם גודל הדירה המקורית עולה על 100 מטר רבוע, גודל כל דירה לאחר החלוקה לא יפחת מ-35 מטר רבוע והיא כוללת מטבח, שירותים וכניסה נפרדים."</w:t>
            </w:r>
            <w:r>
              <w:rPr>
                <w:rFonts w:hint="cs"/>
                <w:rtl/>
              </w:rPr>
              <w:t>;</w:t>
            </w:r>
          </w:p>
        </w:tc>
      </w:tr>
      <w:tr w:rsidR="00EC22F0" w14:paraId="535777FD" w14:textId="77777777" w:rsidTr="00466176">
        <w:trPr>
          <w:cantSplit/>
        </w:trPr>
        <w:tc>
          <w:tcPr>
            <w:tcW w:w="1871" w:type="dxa"/>
          </w:tcPr>
          <w:p w14:paraId="3054C84B" w14:textId="77777777" w:rsidR="00EC22F0" w:rsidRDefault="00EC22F0" w:rsidP="00A05BFA">
            <w:pPr>
              <w:pStyle w:val="TableSideHeading"/>
              <w:rPr>
                <w:rtl/>
              </w:rPr>
            </w:pPr>
          </w:p>
        </w:tc>
        <w:tc>
          <w:tcPr>
            <w:tcW w:w="624" w:type="dxa"/>
          </w:tcPr>
          <w:p w14:paraId="3F94ADB4" w14:textId="77777777" w:rsidR="00EC22F0" w:rsidRDefault="00EC22F0" w:rsidP="00A05BFA">
            <w:pPr>
              <w:pStyle w:val="TableText"/>
            </w:pPr>
          </w:p>
        </w:tc>
        <w:tc>
          <w:tcPr>
            <w:tcW w:w="624" w:type="dxa"/>
          </w:tcPr>
          <w:p w14:paraId="45D89EAB" w14:textId="77777777" w:rsidR="00EC22F0" w:rsidRDefault="00EC22F0" w:rsidP="00A05BFA">
            <w:pPr>
              <w:pStyle w:val="TableText"/>
              <w:rPr>
                <w:rtl/>
              </w:rPr>
            </w:pPr>
            <w:r>
              <w:rPr>
                <w:rFonts w:hint="cs"/>
                <w:rtl/>
              </w:rPr>
              <w:t>(2)</w:t>
            </w:r>
          </w:p>
        </w:tc>
        <w:tc>
          <w:tcPr>
            <w:tcW w:w="6519" w:type="dxa"/>
          </w:tcPr>
          <w:p w14:paraId="224BDC84" w14:textId="77777777" w:rsidR="00EC22F0" w:rsidRDefault="00EC22F0" w:rsidP="00466176">
            <w:pPr>
              <w:pStyle w:val="TableBlock"/>
              <w:rPr>
                <w:rtl/>
              </w:rPr>
            </w:pPr>
            <w:r>
              <w:rPr>
                <w:rFonts w:hint="cs"/>
                <w:rtl/>
              </w:rPr>
              <w:t>ב</w:t>
            </w:r>
            <w:r w:rsidRPr="00B5376A">
              <w:rPr>
                <w:rtl/>
              </w:rPr>
              <w:t>תוספת השלישית, בסעיף 19(ב), אחרי פסקה (</w:t>
            </w:r>
            <w:r>
              <w:rPr>
                <w:rFonts w:hint="cs"/>
                <w:rtl/>
              </w:rPr>
              <w:t>13</w:t>
            </w:r>
            <w:r w:rsidRPr="00B5376A">
              <w:rPr>
                <w:rtl/>
              </w:rPr>
              <w:t>) יבוא</w:t>
            </w:r>
            <w:r>
              <w:rPr>
                <w:rFonts w:hint="cs"/>
                <w:rtl/>
              </w:rPr>
              <w:t>:</w:t>
            </w:r>
          </w:p>
        </w:tc>
      </w:tr>
      <w:tr w:rsidR="00EC22F0" w14:paraId="7047402A" w14:textId="77777777" w:rsidTr="00466176">
        <w:trPr>
          <w:cantSplit/>
        </w:trPr>
        <w:tc>
          <w:tcPr>
            <w:tcW w:w="1871" w:type="dxa"/>
          </w:tcPr>
          <w:p w14:paraId="5DA2FC0D" w14:textId="77777777" w:rsidR="00EC22F0" w:rsidRDefault="00EC22F0" w:rsidP="00A05BFA">
            <w:pPr>
              <w:pStyle w:val="TableSideHeading"/>
              <w:rPr>
                <w:rtl/>
              </w:rPr>
            </w:pPr>
          </w:p>
        </w:tc>
        <w:tc>
          <w:tcPr>
            <w:tcW w:w="624" w:type="dxa"/>
          </w:tcPr>
          <w:p w14:paraId="50AC6214" w14:textId="77777777" w:rsidR="00EC22F0" w:rsidRDefault="00EC22F0" w:rsidP="00A05BFA">
            <w:pPr>
              <w:pStyle w:val="TableText"/>
            </w:pPr>
          </w:p>
        </w:tc>
        <w:tc>
          <w:tcPr>
            <w:tcW w:w="624" w:type="dxa"/>
          </w:tcPr>
          <w:p w14:paraId="003B6D90" w14:textId="77777777" w:rsidR="00EC22F0" w:rsidRDefault="00EC22F0" w:rsidP="00A05BFA">
            <w:pPr>
              <w:pStyle w:val="TableText"/>
              <w:rPr>
                <w:rtl/>
              </w:rPr>
            </w:pPr>
          </w:p>
        </w:tc>
        <w:tc>
          <w:tcPr>
            <w:tcW w:w="6519" w:type="dxa"/>
          </w:tcPr>
          <w:p w14:paraId="02E6EE0E" w14:textId="77777777" w:rsidR="00EC22F0" w:rsidRDefault="00EC22F0" w:rsidP="00466176">
            <w:pPr>
              <w:pStyle w:val="TableBlock"/>
              <w:tabs>
                <w:tab w:val="left" w:pos="624"/>
                <w:tab w:val="left" w:pos="1247"/>
              </w:tabs>
              <w:rPr>
                <w:rtl/>
              </w:rPr>
            </w:pPr>
            <w:r>
              <w:rPr>
                <w:rFonts w:hint="cs"/>
                <w:rtl/>
              </w:rPr>
              <w:t>"</w:t>
            </w:r>
            <w:r w:rsidRPr="00B5376A">
              <w:rPr>
                <w:rtl/>
              </w:rPr>
              <w:t>(1</w:t>
            </w:r>
            <w:r>
              <w:rPr>
                <w:rFonts w:hint="cs"/>
                <w:rtl/>
              </w:rPr>
              <w:t>4</w:t>
            </w:r>
            <w:r w:rsidRPr="00B5376A">
              <w:rPr>
                <w:rtl/>
              </w:rPr>
              <w:t>)</w:t>
            </w:r>
            <w:r w:rsidRPr="00B5376A">
              <w:rPr>
                <w:rtl/>
              </w:rPr>
              <w:tab/>
              <w:t>השבחה במקרקעין למגורים הנובעת מחלוקת דירה שנעשתה על פי האמור בסעיף 145(א</w:t>
            </w:r>
            <w:r>
              <w:rPr>
                <w:rFonts w:hint="cs"/>
                <w:rtl/>
              </w:rPr>
              <w:t>4</w:t>
            </w:r>
            <w:r w:rsidRPr="00B5376A">
              <w:rPr>
                <w:rtl/>
              </w:rPr>
              <w:t>), כל עוד יחידות הדיור שנוצרו עקב החלוקה כאמור משמשות להשכרה שאינה לקרובי הבעלים.</w:t>
            </w:r>
            <w:r>
              <w:rPr>
                <w:rFonts w:hint="cs"/>
                <w:rtl/>
              </w:rPr>
              <w:t>"</w:t>
            </w:r>
          </w:p>
        </w:tc>
      </w:tr>
    </w:tbl>
    <w:p w14:paraId="7F6961CA" w14:textId="77777777" w:rsidR="002D1EE3" w:rsidRDefault="002D1EE3" w:rsidP="002D1EE3">
      <w:pPr>
        <w:pStyle w:val="HeadDivreiHesber"/>
        <w:rPr>
          <w:rtl/>
        </w:rPr>
      </w:pPr>
      <w:r w:rsidRPr="0027450A">
        <w:rPr>
          <w:rFonts w:hint="cs"/>
          <w:rtl/>
        </w:rPr>
        <w:t>דברי הסבר</w:t>
      </w:r>
    </w:p>
    <w:p w14:paraId="19FCD4ED" w14:textId="77777777" w:rsidR="00565D0D" w:rsidRDefault="00565D0D" w:rsidP="00466176">
      <w:pPr>
        <w:pStyle w:val="Hesber"/>
        <w:rPr>
          <w:rtl/>
        </w:rPr>
      </w:pPr>
      <w:r>
        <w:rPr>
          <w:rtl/>
        </w:rPr>
        <w:t xml:space="preserve">מצוקת הדיור </w:t>
      </w:r>
      <w:r w:rsidRPr="00466176">
        <w:rPr>
          <w:rtl/>
        </w:rPr>
        <w:t>והמחסור</w:t>
      </w:r>
      <w:r>
        <w:rPr>
          <w:rtl/>
        </w:rPr>
        <w:t xml:space="preserve"> החמור בהיצע דירות קטנות לשוכרים, מחייבת היערכות מיידית למציאת פתרונות. הצפת השוק בקרקעות לבנייה, ככל שהיא יעילה, פתרונה אינה מיידי. כיום קיימות בשוק עשרות אלפי דירות גדולות שאינן מושכרות בין השאר עקב העובדה שלשוכרים אין אפשרות לממן החזקת דירה גדולה. </w:t>
      </w:r>
    </w:p>
    <w:p w14:paraId="13814564" w14:textId="77777777" w:rsidR="00565D0D" w:rsidRDefault="00565D0D" w:rsidP="00565D0D">
      <w:pPr>
        <w:pStyle w:val="Hesber"/>
        <w:rPr>
          <w:rtl/>
        </w:rPr>
      </w:pPr>
      <w:r>
        <w:rPr>
          <w:rtl/>
        </w:rPr>
        <w:t>על כן מוצע לאפשר בהוראת שעה חלוקת דירות גדולות ללא צורך בהיתר בנייה וללא צורך בתשלום היטל השבחה, זאת, בהתקיים תנאי סעיף 145(א4) המוצע, וכל עוד יחידות הדיור שנוצרו עקב חלוקת הדירה משמשות למגורי שוכרים שאינם קרובי הבעלים.</w:t>
      </w:r>
    </w:p>
    <w:p w14:paraId="7F6961CB" w14:textId="458F21C8" w:rsidR="00E13C27" w:rsidRDefault="00565D0D" w:rsidP="00EC22F0">
      <w:pPr>
        <w:pStyle w:val="Hesber"/>
        <w:rPr>
          <w:rtl/>
        </w:rPr>
      </w:pPr>
      <w:r>
        <w:rPr>
          <w:rtl/>
        </w:rPr>
        <w:lastRenderedPageBreak/>
        <w:t>הצעות חוק דומות בעיקרן הונחו על שולחן הכנסת השמונה-עשרה, על שולחן הכנסת התשע-עשרה</w:t>
      </w:r>
      <w:r w:rsidR="00EC22F0">
        <w:rPr>
          <w:rFonts w:hint="cs"/>
          <w:rtl/>
        </w:rPr>
        <w:t xml:space="preserve"> </w:t>
      </w:r>
      <w:r w:rsidR="00466176">
        <w:rPr>
          <w:rFonts w:hint="cs"/>
          <w:rtl/>
        </w:rPr>
        <w:t>ו</w:t>
      </w:r>
      <w:r>
        <w:rPr>
          <w:rtl/>
        </w:rPr>
        <w:t>על שולחן הכנסת העשרים על ידי חבר הכנסת ישראל אייכלר (פ/3508/18; פ/377/19; פ/86/20)</w:t>
      </w:r>
      <w:r w:rsidR="00EC22F0">
        <w:rPr>
          <w:rFonts w:hint="cs"/>
          <w:rtl/>
        </w:rPr>
        <w:t xml:space="preserve">, </w:t>
      </w:r>
      <w:r>
        <w:rPr>
          <w:rtl/>
        </w:rPr>
        <w:t>על שולחן הכנסת העשרים ושלוש על ידי חבר הכנסת ישראל אייכלר (פ/1487/23) ועל שולחן הכנסת העשרים וארבע על ידי חבר הכנסת ישראל אייכלר וקבוצת חברי הכנסת (פ/393/24).</w:t>
      </w:r>
    </w:p>
    <w:p w14:paraId="76AB96F9" w14:textId="77777777" w:rsidR="00466176" w:rsidRDefault="00466176">
      <w:pPr>
        <w:jc w:val="left"/>
        <w:rPr>
          <w:rFonts w:eastAsia="David"/>
          <w:sz w:val="26"/>
          <w:szCs w:val="26"/>
          <w:rtl/>
        </w:rPr>
      </w:pPr>
      <w:bookmarkStart w:id="8" w:name="selectedDocDateB"/>
      <w:bookmarkEnd w:id="8"/>
    </w:p>
    <w:p w14:paraId="6D436931" w14:textId="77777777" w:rsidR="00466176" w:rsidRDefault="00466176">
      <w:pPr>
        <w:jc w:val="left"/>
        <w:rPr>
          <w:rFonts w:eastAsia="David"/>
          <w:sz w:val="26"/>
          <w:szCs w:val="26"/>
          <w:rtl/>
        </w:rPr>
      </w:pPr>
    </w:p>
    <w:p w14:paraId="416B7A8D" w14:textId="615AA39B" w:rsidR="004F74F4" w:rsidRDefault="00466176">
      <w:pPr>
        <w:jc w:val="left"/>
      </w:pPr>
      <w:bookmarkStart w:id="9" w:name="_GoBack"/>
      <w:bookmarkEnd w:id="9"/>
      <w:r>
        <w:rPr>
          <w:rFonts w:eastAsia="David" w:hint="cs"/>
          <w:sz w:val="26"/>
          <w:szCs w:val="26"/>
          <w:rtl/>
        </w:rPr>
        <w:t>--------------------------------</w:t>
      </w:r>
    </w:p>
    <w:p w14:paraId="53495647" w14:textId="77777777" w:rsidR="004F74F4" w:rsidRDefault="00466176">
      <w:pPr>
        <w:jc w:val="left"/>
      </w:pPr>
      <w:r>
        <w:rPr>
          <w:rFonts w:eastAsia="David" w:hint="cs"/>
          <w:sz w:val="26"/>
          <w:szCs w:val="26"/>
          <w:rtl/>
        </w:rPr>
        <w:t>הוגשה ליו"ר הכנסת והסגנים</w:t>
      </w:r>
    </w:p>
    <w:p w14:paraId="3F7FC094" w14:textId="77777777" w:rsidR="004F74F4" w:rsidRDefault="00466176">
      <w:pPr>
        <w:jc w:val="left"/>
      </w:pPr>
      <w:r>
        <w:rPr>
          <w:rFonts w:eastAsia="David" w:hint="cs"/>
          <w:sz w:val="26"/>
          <w:szCs w:val="26"/>
          <w:rtl/>
        </w:rPr>
        <w:t>והונחה על שולחן הכנסת ביום</w:t>
      </w:r>
    </w:p>
    <w:p w14:paraId="230BBEFD" w14:textId="77777777" w:rsidR="004F74F4" w:rsidRDefault="00466176">
      <w:pPr>
        <w:jc w:val="left"/>
      </w:pPr>
      <w:r>
        <w:rPr>
          <w:rFonts w:eastAsia="David" w:hint="cs"/>
          <w:sz w:val="26"/>
          <w:szCs w:val="26"/>
          <w:rtl/>
        </w:rPr>
        <w:t xml:space="preserve">ז' בכסלו התשפ"ד (20.11.2023) </w:t>
      </w:r>
    </w:p>
    <w:p w14:paraId="094544C2" w14:textId="77777777" w:rsidR="004F74F4" w:rsidRDefault="004F74F4">
      <w:pPr>
        <w:spacing w:line="276" w:lineRule="auto"/>
        <w:jc w:val="left"/>
      </w:pPr>
    </w:p>
    <w:sectPr w:rsidR="004F74F4" w:rsidSect="00466176">
      <w:footerReference w:type="even" r:id="rId11"/>
      <w:footerReference w:type="default" r:id="rId12"/>
      <w:pgSz w:w="11907" w:h="16840" w:code="9"/>
      <w:pgMar w:top="1701" w:right="1134" w:bottom="1417" w:left="1134" w:header="680" w:footer="680" w:gutter="0"/>
      <w:cols w:space="720"/>
      <w:noEndnote/>
      <w:titlePg/>
      <w:bidi/>
      <w:rtlGutter/>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26B4C1" w14:textId="77777777" w:rsidR="00D142D3" w:rsidRDefault="00D142D3">
      <w:r>
        <w:separator/>
      </w:r>
    </w:p>
  </w:endnote>
  <w:endnote w:type="continuationSeparator" w:id="0">
    <w:p w14:paraId="0E546755" w14:textId="77777777" w:rsidR="00D142D3" w:rsidRDefault="00D142D3">
      <w:r>
        <w:continuationSeparator/>
      </w:r>
    </w:p>
  </w:endnote>
  <w:endnote w:type="continuationNotice" w:id="1">
    <w:p w14:paraId="24369900" w14:textId="77777777" w:rsidR="00D142D3" w:rsidRDefault="00D142D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MS Mincho">
    <w:altName w:val="Yu Gothic UI"/>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6961D7" w14:textId="605A5BF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466176">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8674C0" w14:textId="77777777" w:rsidR="00D142D3" w:rsidRDefault="00D142D3" w:rsidP="00466176">
      <w:pPr>
        <w:ind w:left="0"/>
      </w:pPr>
      <w:r>
        <w:separator/>
      </w:r>
    </w:p>
  </w:footnote>
  <w:footnote w:type="continuationSeparator" w:id="0">
    <w:p w14:paraId="401CF485" w14:textId="77777777" w:rsidR="00D142D3" w:rsidRDefault="00D142D3">
      <w:r>
        <w:continuationSeparator/>
      </w:r>
    </w:p>
  </w:footnote>
  <w:footnote w:type="continuationNotice" w:id="1">
    <w:p w14:paraId="173A6451" w14:textId="77777777" w:rsidR="00D142D3" w:rsidRDefault="00D142D3"/>
  </w:footnote>
  <w:footnote w:id="2">
    <w:p w14:paraId="7875727F" w14:textId="77777777" w:rsidR="00EC22F0" w:rsidRDefault="00EC22F0" w:rsidP="00EC22F0">
      <w:pPr>
        <w:pStyle w:val="a4"/>
        <w:rPr>
          <w:rtl/>
        </w:rPr>
      </w:pPr>
      <w:r>
        <w:rPr>
          <w:rStyle w:val="a6"/>
        </w:rPr>
        <w:footnoteRef/>
      </w:r>
      <w:r>
        <w:rPr>
          <w:rtl/>
        </w:rPr>
        <w:t xml:space="preserve"> </w:t>
      </w:r>
      <w:r>
        <w:rPr>
          <w:rFonts w:hint="cs"/>
          <w:rtl/>
        </w:rPr>
        <w:t>ס"ח התשכ"ה, עמ' 307.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494355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38A2EB9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2E00DC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D24BF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916852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5CA2E0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AEA33E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8CFFC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F38A53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5B8527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7972A86"/>
    <w:multiLevelType w:val="hybridMultilevel"/>
    <w:tmpl w:val="0D5028AE"/>
    <w:lvl w:ilvl="0" w:tplc="FB92B186">
      <w:start w:val="1"/>
      <w:numFmt w:val="decimal"/>
      <w:lvlText w:val="%1."/>
      <w:lvlJc w:val="left"/>
      <w:pPr>
        <w:ind w:left="700" w:hanging="360"/>
      </w:pPr>
      <w:rPr>
        <w:rFonts w:hint="default"/>
      </w:r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5A2B35"/>
    <w:multiLevelType w:val="hybridMultilevel"/>
    <w:tmpl w:val="F61ADD04"/>
    <w:lvl w:ilvl="0" w:tplc="EFC26F30">
      <w:start w:val="1"/>
      <w:numFmt w:val="hebrew1"/>
      <w:pStyle w:val="4"/>
      <w:suff w:val="space"/>
      <w:lvlText w:val="%1."/>
      <w:lvlJc w:val="left"/>
      <w:pPr>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5B3B28B0"/>
    <w:multiLevelType w:val="hybridMultilevel"/>
    <w:tmpl w:val="41ACEA96"/>
    <w:lvl w:ilvl="0" w:tplc="06A8C010">
      <w:start w:val="1"/>
      <w:numFmt w:val="decimal"/>
      <w:pStyle w:val="TOC3"/>
      <w:lvlText w:val="%1."/>
      <w:lvlJc w:val="left"/>
      <w:pPr>
        <w:ind w:left="1287" w:hanging="360"/>
      </w:pPr>
      <w:rPr>
        <w:rFonts w:cs="David" w:hint="default"/>
        <w:bCs w:val="0"/>
        <w:iCs w:val="0"/>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753C544D"/>
    <w:multiLevelType w:val="hybridMultilevel"/>
    <w:tmpl w:val="C7443990"/>
    <w:lvl w:ilvl="0" w:tplc="0409000F">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2"/>
  </w:num>
  <w:num w:numId="12">
    <w:abstractNumId w:val="15"/>
  </w:num>
  <w:num w:numId="13">
    <w:abstractNumId w:val="11"/>
  </w:num>
  <w:num w:numId="14">
    <w:abstractNumId w:val="16"/>
  </w:num>
  <w:num w:numId="15">
    <w:abstractNumId w:val="13"/>
  </w:num>
  <w:num w:numId="16">
    <w:abstractNumId w:val="13"/>
    <w:lvlOverride w:ilvl="0">
      <w:startOverride w:val="1"/>
    </w:lvlOverride>
  </w:num>
  <w:num w:numId="17">
    <w:abstractNumId w:val="10"/>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B4F9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66176"/>
    <w:rsid w:val="004A06DC"/>
    <w:rsid w:val="004B24ED"/>
    <w:rsid w:val="004B6625"/>
    <w:rsid w:val="004D2D82"/>
    <w:rsid w:val="004D3876"/>
    <w:rsid w:val="004E4552"/>
    <w:rsid w:val="004E6CDF"/>
    <w:rsid w:val="004F74F4"/>
    <w:rsid w:val="00553C9D"/>
    <w:rsid w:val="00562A66"/>
    <w:rsid w:val="00565D0D"/>
    <w:rsid w:val="0058272E"/>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A27CE"/>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42D3"/>
    <w:rsid w:val="00D17774"/>
    <w:rsid w:val="00D63620"/>
    <w:rsid w:val="00D8410D"/>
    <w:rsid w:val="00D867D7"/>
    <w:rsid w:val="00DB7060"/>
    <w:rsid w:val="00DE3153"/>
    <w:rsid w:val="00E06736"/>
    <w:rsid w:val="00E13C27"/>
    <w:rsid w:val="00E33BBD"/>
    <w:rsid w:val="00E374F2"/>
    <w:rsid w:val="00E45103"/>
    <w:rsid w:val="00E55A60"/>
    <w:rsid w:val="00E62778"/>
    <w:rsid w:val="00E635A2"/>
    <w:rsid w:val="00E63D38"/>
    <w:rsid w:val="00E665B9"/>
    <w:rsid w:val="00EA01E6"/>
    <w:rsid w:val="00EA3DE8"/>
    <w:rsid w:val="00EA758F"/>
    <w:rsid w:val="00EC22F0"/>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50946357-5C66-44F5-85B7-B4182395B1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qFormat="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6176"/>
    <w:pPr>
      <w:widowControl w:val="0"/>
      <w:bidi/>
      <w:spacing w:line="360" w:lineRule="auto"/>
      <w:ind w:left="340"/>
      <w:contextualSpacing/>
      <w:jc w:val="both"/>
    </w:pPr>
    <w:rPr>
      <w:rFonts w:ascii="David" w:eastAsiaTheme="minorHAnsi" w:hAnsi="David" w:cs="David"/>
      <w:sz w:val="24"/>
      <w:szCs w:val="24"/>
    </w:rPr>
  </w:style>
  <w:style w:type="paragraph" w:styleId="1">
    <w:name w:val="heading 1"/>
    <w:basedOn w:val="a"/>
    <w:next w:val="a"/>
    <w:link w:val="10"/>
    <w:uiPriority w:val="9"/>
    <w:qFormat/>
    <w:rsid w:val="00466176"/>
    <w:pPr>
      <w:keepNext/>
      <w:keepLines/>
      <w:spacing w:before="240"/>
      <w:jc w:val="center"/>
      <w:outlineLvl w:val="0"/>
    </w:pPr>
    <w:rPr>
      <w:rFonts w:asciiTheme="majorHAnsi" w:eastAsiaTheme="majorEastAsia" w:hAnsiTheme="majorHAnsi"/>
      <w:bCs/>
      <w:sz w:val="32"/>
      <w:szCs w:val="36"/>
    </w:rPr>
  </w:style>
  <w:style w:type="paragraph" w:styleId="2">
    <w:name w:val="heading 2"/>
    <w:basedOn w:val="a"/>
    <w:next w:val="a"/>
    <w:link w:val="20"/>
    <w:unhideWhenUsed/>
    <w:qFormat/>
    <w:rsid w:val="00466176"/>
    <w:pPr>
      <w:ind w:left="0"/>
      <w:jc w:val="left"/>
      <w:outlineLvl w:val="1"/>
    </w:pPr>
    <w:rPr>
      <w:rFonts w:asciiTheme="majorHAnsi" w:eastAsiaTheme="majorEastAsia" w:hAnsiTheme="majorHAnsi"/>
      <w:bCs/>
      <w:sz w:val="26"/>
      <w:szCs w:val="36"/>
      <w:u w:val="single"/>
    </w:rPr>
  </w:style>
  <w:style w:type="paragraph" w:styleId="3">
    <w:name w:val="heading 3"/>
    <w:basedOn w:val="a"/>
    <w:next w:val="a"/>
    <w:link w:val="30"/>
    <w:unhideWhenUsed/>
    <w:qFormat/>
    <w:rsid w:val="00466176"/>
    <w:pPr>
      <w:spacing w:before="40"/>
      <w:ind w:left="0"/>
      <w:jc w:val="left"/>
      <w:outlineLvl w:val="2"/>
    </w:pPr>
    <w:rPr>
      <w:rFonts w:asciiTheme="majorHAnsi" w:eastAsiaTheme="majorEastAsia" w:hAnsiTheme="majorHAnsi"/>
      <w:szCs w:val="28"/>
      <w:u w:val="double"/>
    </w:rPr>
  </w:style>
  <w:style w:type="paragraph" w:styleId="4">
    <w:name w:val="heading 4"/>
    <w:basedOn w:val="a"/>
    <w:next w:val="a"/>
    <w:link w:val="40"/>
    <w:uiPriority w:val="9"/>
    <w:unhideWhenUsed/>
    <w:qFormat/>
    <w:rsid w:val="00466176"/>
    <w:pPr>
      <w:numPr>
        <w:numId w:val="18"/>
      </w:numPr>
      <w:spacing w:before="40" w:after="120"/>
      <w:outlineLvl w:val="3"/>
    </w:pPr>
    <w:rPr>
      <w:b/>
      <w:bCs/>
      <w:color w:val="000000" w:themeColor="text1"/>
      <w:szCs w:val="28"/>
    </w:rPr>
  </w:style>
  <w:style w:type="paragraph" w:styleId="5">
    <w:name w:val="heading 5"/>
    <w:basedOn w:val="a"/>
    <w:next w:val="a"/>
    <w:link w:val="50"/>
    <w:uiPriority w:val="9"/>
    <w:unhideWhenUsed/>
    <w:qFormat/>
    <w:rsid w:val="00466176"/>
    <w:pPr>
      <w:spacing w:line="259" w:lineRule="auto"/>
      <w:outlineLvl w:val="4"/>
    </w:pPr>
    <w:rPr>
      <w:color w:val="000000" w:themeColor="text1"/>
    </w:rPr>
  </w:style>
  <w:style w:type="character" w:default="1" w:styleId="a0">
    <w:name w:val="Default Paragraph Font"/>
    <w:uiPriority w:val="1"/>
    <w:semiHidden/>
    <w:unhideWhenUsed/>
    <w:rsid w:val="00466176"/>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rsid w:val="00466176"/>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466176"/>
    <w:pPr>
      <w:tabs>
        <w:tab w:val="left" w:pos="1191"/>
        <w:tab w:val="left" w:pos="1587"/>
      </w:tabs>
      <w:snapToGrid w:val="0"/>
      <w:spacing w:before="240" w:after="240" w:line="480" w:lineRule="auto"/>
      <w:jc w:val="center"/>
    </w:pPr>
    <w:rPr>
      <w:rFonts w:ascii="Arial" w:eastAsia="Arial Unicode MS" w:hAnsi="Arial"/>
      <w:snapToGrid w:val="0"/>
      <w:sz w:val="20"/>
      <w:szCs w:val="26"/>
    </w:rPr>
  </w:style>
  <w:style w:type="paragraph" w:customStyle="1" w:styleId="Cover2-HatzaotHok">
    <w:name w:val="Cover 2-HatzaotHok"/>
    <w:basedOn w:val="Cover1-Reshumot"/>
    <w:rsid w:val="00466176"/>
    <w:rPr>
      <w:sz w:val="36"/>
      <w:szCs w:val="52"/>
    </w:rPr>
  </w:style>
  <w:style w:type="paragraph" w:customStyle="1" w:styleId="Cover3-Haknesset">
    <w:name w:val="Cover 3-Haknesset"/>
    <w:basedOn w:val="Cover1-Reshumot"/>
    <w:rsid w:val="00466176"/>
    <w:rPr>
      <w:b/>
      <w:bCs/>
      <w:spacing w:val="60"/>
    </w:rPr>
  </w:style>
  <w:style w:type="paragraph" w:customStyle="1" w:styleId="Cover4-Date">
    <w:name w:val="Cover 4-Date"/>
    <w:basedOn w:val="a"/>
    <w:rsid w:val="00466176"/>
    <w:pPr>
      <w:pBdr>
        <w:bottom w:val="single" w:sz="4" w:space="0" w:color="auto"/>
      </w:pBdr>
      <w:tabs>
        <w:tab w:val="center" w:pos="4820"/>
        <w:tab w:val="right" w:pos="9639"/>
      </w:tabs>
      <w:snapToGrid w:val="0"/>
      <w:spacing w:before="240" w:after="240"/>
      <w:jc w:val="left"/>
    </w:pPr>
    <w:rPr>
      <w:rFonts w:ascii="Arial" w:eastAsia="Arial Unicode MS" w:hAnsi="Arial"/>
      <w:snapToGrid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466176"/>
    <w:pPr>
      <w:keepNext/>
      <w:keepLines/>
      <w:pageBreakBefore/>
      <w:snapToGrid w:val="0"/>
      <w:spacing w:before="480"/>
    </w:pPr>
    <w:rPr>
      <w:rFonts w:ascii="Arial" w:eastAsia="Arial Unicode MS" w:hAnsi="Arial"/>
      <w:b/>
      <w:bCs/>
      <w:snapToGrid w:val="0"/>
      <w:sz w:val="20"/>
      <w:szCs w:val="26"/>
    </w:rPr>
  </w:style>
  <w:style w:type="paragraph" w:customStyle="1" w:styleId="HeadHatzaotHok">
    <w:name w:val="Head HatzaotHok"/>
    <w:basedOn w:val="a"/>
    <w:rsid w:val="00466176"/>
    <w:pPr>
      <w:keepNext/>
      <w:keepLines/>
      <w:snapToGrid w:val="0"/>
      <w:spacing w:before="240"/>
      <w:jc w:val="center"/>
      <w:outlineLvl w:val="0"/>
    </w:pPr>
    <w:rPr>
      <w:rFonts w:ascii="Arial" w:eastAsia="Arial Unicode MS" w:hAnsi="Arial"/>
      <w:b/>
      <w:bCs/>
      <w:snapToGrid w:val="0"/>
      <w:sz w:val="20"/>
      <w:szCs w:val="26"/>
    </w:rPr>
  </w:style>
  <w:style w:type="paragraph" w:customStyle="1" w:styleId="HeadHatzaotHok4Futer">
    <w:name w:val="Head HatzaotHok4Futer"/>
    <w:basedOn w:val="HeadHatzaotHok"/>
    <w:rsid w:val="00466176"/>
    <w:pPr>
      <w:spacing w:before="120" w:after="120"/>
    </w:pPr>
    <w:rPr>
      <w:color w:val="FF0000"/>
      <w:w w:val="80"/>
    </w:rPr>
  </w:style>
  <w:style w:type="paragraph" w:styleId="a3">
    <w:name w:val="endnote text"/>
    <w:basedOn w:val="a"/>
    <w:semiHidden/>
    <w:rsid w:val="00466176"/>
    <w:pPr>
      <w:ind w:left="227" w:hanging="227"/>
    </w:pPr>
    <w:rPr>
      <w:sz w:val="14"/>
      <w:szCs w:val="22"/>
    </w:rPr>
  </w:style>
  <w:style w:type="paragraph" w:customStyle="1" w:styleId="TableText">
    <w:name w:val="Table Text"/>
    <w:basedOn w:val="a"/>
    <w:rsid w:val="00466176"/>
    <w:pPr>
      <w:keepLines/>
      <w:tabs>
        <w:tab w:val="left" w:pos="624"/>
        <w:tab w:val="left" w:pos="1247"/>
      </w:tabs>
      <w:snapToGrid w:val="0"/>
      <w:ind w:left="0"/>
      <w:jc w:val="left"/>
    </w:pPr>
    <w:rPr>
      <w:rFonts w:ascii="Arial" w:eastAsia="Arial Unicode MS" w:hAnsi="Arial"/>
      <w:snapToGrid w:val="0"/>
      <w:sz w:val="20"/>
      <w:szCs w:val="26"/>
    </w:rPr>
  </w:style>
  <w:style w:type="paragraph" w:customStyle="1" w:styleId="TableSideHeading">
    <w:name w:val="Table SideHeading"/>
    <w:basedOn w:val="TableText"/>
    <w:rsid w:val="00466176"/>
    <w:pPr>
      <w:outlineLvl w:val="2"/>
    </w:pPr>
  </w:style>
  <w:style w:type="paragraph" w:customStyle="1" w:styleId="TableBlock">
    <w:name w:val="Table Block"/>
    <w:basedOn w:val="TableText"/>
    <w:rsid w:val="00466176"/>
    <w:pPr>
      <w:jc w:val="both"/>
    </w:pPr>
  </w:style>
  <w:style w:type="paragraph" w:customStyle="1" w:styleId="TableHead">
    <w:name w:val="Table Head"/>
    <w:basedOn w:val="TableText"/>
    <w:rsid w:val="00466176"/>
    <w:pPr>
      <w:jc w:val="center"/>
      <w:outlineLvl w:val="1"/>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466176"/>
    <w:pPr>
      <w:outlineLvl w:val="9"/>
    </w:pPr>
  </w:style>
  <w:style w:type="paragraph" w:customStyle="1" w:styleId="Hesber">
    <w:name w:val="Hesber"/>
    <w:basedOn w:val="a"/>
    <w:rsid w:val="00466176"/>
    <w:pPr>
      <w:snapToGrid w:val="0"/>
      <w:ind w:left="0" w:firstLine="340"/>
    </w:pPr>
    <w:rPr>
      <w:rFonts w:ascii="Arial" w:eastAsia="Arial Unicode MS" w:hAnsi="Arial"/>
      <w:snapToGrid w:val="0"/>
      <w:sz w:val="20"/>
      <w:szCs w:val="26"/>
    </w:rPr>
  </w:style>
  <w:style w:type="paragraph" w:styleId="a4">
    <w:name w:val="footnote text"/>
    <w:basedOn w:val="a"/>
    <w:link w:val="a5"/>
    <w:autoRedefine/>
    <w:semiHidden/>
    <w:rsid w:val="00466176"/>
    <w:pPr>
      <w:snapToGrid w:val="0"/>
      <w:spacing w:line="240" w:lineRule="auto"/>
      <w:ind w:left="0"/>
      <w:jc w:val="left"/>
    </w:pPr>
    <w:rPr>
      <w:rFonts w:ascii="Arial" w:eastAsia="Arial Unicode MS" w:hAnsi="Arial"/>
      <w:snapToGrid w:val="0"/>
      <w:sz w:val="14"/>
      <w:szCs w:val="20"/>
    </w:rPr>
  </w:style>
  <w:style w:type="character" w:styleId="a6">
    <w:name w:val="footnote reference"/>
    <w:aliases w:val="Footnote Reference"/>
    <w:basedOn w:val="a0"/>
    <w:semiHidden/>
    <w:rsid w:val="00466176"/>
    <w:rPr>
      <w:vertAlign w:val="superscript"/>
    </w:rPr>
  </w:style>
  <w:style w:type="paragraph" w:customStyle="1" w:styleId="HesberHeading">
    <w:name w:val="Hesber Heading"/>
    <w:basedOn w:val="Hesber"/>
    <w:rsid w:val="00466176"/>
    <w:pPr>
      <w:tabs>
        <w:tab w:val="left" w:pos="624"/>
        <w:tab w:val="left" w:pos="1247"/>
      </w:tabs>
    </w:pPr>
    <w:rPr>
      <w:b/>
      <w:bCs/>
    </w:rPr>
  </w:style>
  <w:style w:type="paragraph" w:customStyle="1" w:styleId="HesberWriters">
    <w:name w:val="Hesber Writers"/>
    <w:basedOn w:val="Hesber"/>
    <w:rsid w:val="00466176"/>
    <w:pPr>
      <w:spacing w:before="120" w:after="120"/>
      <w:ind w:left="1418"/>
      <w:jc w:val="right"/>
    </w:pPr>
    <w:rPr>
      <w:b/>
      <w:bCs/>
    </w:rPr>
  </w:style>
  <w:style w:type="paragraph" w:customStyle="1" w:styleId="Hesber1st">
    <w:name w:val="Hesber 1st"/>
    <w:basedOn w:val="Hesber"/>
    <w:rsid w:val="00466176"/>
    <w:pPr>
      <w:tabs>
        <w:tab w:val="left" w:pos="680"/>
        <w:tab w:val="left" w:pos="1020"/>
      </w:tabs>
      <w:ind w:firstLine="0"/>
    </w:pPr>
  </w:style>
  <w:style w:type="character" w:styleId="a7">
    <w:name w:val="endnote reference"/>
    <w:basedOn w:val="a0"/>
    <w:semiHidden/>
    <w:rsid w:val="00466176"/>
    <w:rPr>
      <w:vertAlign w:val="superscript"/>
    </w:rPr>
  </w:style>
  <w:style w:type="paragraph" w:customStyle="1" w:styleId="TableBlockOutdent">
    <w:name w:val="Table BlockOutdent"/>
    <w:basedOn w:val="TableBlock"/>
    <w:rsid w:val="00466176"/>
    <w:pPr>
      <w:ind w:left="624" w:hanging="624"/>
    </w:pPr>
  </w:style>
  <w:style w:type="paragraph" w:styleId="a8">
    <w:name w:val="header"/>
    <w:basedOn w:val="a"/>
    <w:rsid w:val="00466176"/>
    <w:pPr>
      <w:tabs>
        <w:tab w:val="center" w:pos="4153"/>
        <w:tab w:val="right" w:pos="8306"/>
      </w:tabs>
    </w:pPr>
  </w:style>
  <w:style w:type="paragraph" w:styleId="a9">
    <w:name w:val="footer"/>
    <w:basedOn w:val="a"/>
    <w:rsid w:val="00466176"/>
    <w:pPr>
      <w:tabs>
        <w:tab w:val="center" w:pos="4153"/>
        <w:tab w:val="right" w:pos="8306"/>
      </w:tabs>
    </w:pPr>
  </w:style>
  <w:style w:type="paragraph" w:customStyle="1" w:styleId="HeadDivreiHesber">
    <w:name w:val="Head DivreiHesber"/>
    <w:basedOn w:val="a"/>
    <w:rsid w:val="00466176"/>
    <w:pPr>
      <w:snapToGrid w:val="0"/>
      <w:spacing w:before="360" w:after="120"/>
      <w:jc w:val="center"/>
      <w:outlineLvl w:val="1"/>
    </w:pPr>
    <w:rPr>
      <w:rFonts w:ascii="Arial" w:eastAsia="Arial Unicode MS" w:hAnsi="Arial"/>
      <w:b/>
      <w:snapToGrid w:val="0"/>
      <w:spacing w:val="40"/>
      <w:sz w:val="20"/>
      <w:szCs w:val="26"/>
    </w:rPr>
  </w:style>
  <w:style w:type="paragraph" w:customStyle="1" w:styleId="Ragil">
    <w:name w:val="Ragil"/>
    <w:basedOn w:val="a"/>
    <w:rsid w:val="00466176"/>
    <w:pPr>
      <w:snapToGrid w:val="0"/>
      <w:jc w:val="left"/>
    </w:pPr>
    <w:rPr>
      <w:rFonts w:ascii="Arial" w:eastAsia="Arial Unicode MS" w:hAnsi="Arial"/>
      <w:snapToGrid w:val="0"/>
      <w:sz w:val="20"/>
      <w:szCs w:val="26"/>
    </w:rPr>
  </w:style>
  <w:style w:type="paragraph" w:styleId="aa">
    <w:name w:val="Title"/>
    <w:basedOn w:val="a"/>
    <w:qFormat/>
    <w:rsid w:val="00943386"/>
    <w:pPr>
      <w:jc w:val="center"/>
    </w:pPr>
    <w:rPr>
      <w:b/>
      <w:bCs/>
      <w:sz w:val="28"/>
      <w:szCs w:val="28"/>
      <w:u w:val="single"/>
    </w:rPr>
  </w:style>
  <w:style w:type="character" w:styleId="ab">
    <w:name w:val="page number"/>
    <w:basedOn w:val="a0"/>
    <w:rsid w:val="00466176"/>
  </w:style>
  <w:style w:type="paragraph" w:customStyle="1" w:styleId="David">
    <w:name w:val="רגיל + (עברית ושפות אחרות) David"/>
    <w:aliases w:val="‏13 נק',מודגש,אחרי:  6 נק'"/>
    <w:basedOn w:val="a"/>
    <w:rsid w:val="001207F8"/>
    <w:pPr>
      <w:jc w:val="left"/>
    </w:pPr>
    <w:rPr>
      <w:sz w:val="26"/>
      <w:szCs w:val="26"/>
    </w:rPr>
  </w:style>
  <w:style w:type="paragraph" w:styleId="ac">
    <w:name w:val="Balloon Text"/>
    <w:basedOn w:val="a"/>
    <w:link w:val="ad"/>
    <w:semiHidden/>
    <w:unhideWhenUsed/>
    <w:rsid w:val="00325C14"/>
    <w:pPr>
      <w:spacing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semiHidden/>
    <w:rsid w:val="00EC22F0"/>
    <w:rPr>
      <w:rFonts w:ascii="Arial" w:eastAsia="Arial Unicode MS" w:hAnsi="Arial" w:cs="David"/>
      <w:snapToGrid w:val="0"/>
      <w:sz w:val="14"/>
    </w:rPr>
  </w:style>
  <w:style w:type="character" w:customStyle="1" w:styleId="10">
    <w:name w:val="כותרת 1 תו"/>
    <w:basedOn w:val="a0"/>
    <w:link w:val="1"/>
    <w:uiPriority w:val="9"/>
    <w:rsid w:val="00466176"/>
    <w:rPr>
      <w:rFonts w:asciiTheme="majorHAnsi" w:eastAsiaTheme="majorEastAsia" w:hAnsiTheme="majorHAnsi" w:cs="David"/>
      <w:bCs/>
      <w:sz w:val="32"/>
      <w:szCs w:val="36"/>
    </w:rPr>
  </w:style>
  <w:style w:type="character" w:customStyle="1" w:styleId="20">
    <w:name w:val="כותרת 2 תו"/>
    <w:basedOn w:val="a0"/>
    <w:link w:val="2"/>
    <w:rsid w:val="00466176"/>
    <w:rPr>
      <w:rFonts w:asciiTheme="majorHAnsi" w:eastAsiaTheme="majorEastAsia" w:hAnsiTheme="majorHAnsi" w:cs="David"/>
      <w:bCs/>
      <w:sz w:val="26"/>
      <w:szCs w:val="36"/>
      <w:u w:val="single"/>
    </w:rPr>
  </w:style>
  <w:style w:type="character" w:customStyle="1" w:styleId="30">
    <w:name w:val="כותרת 3 תו"/>
    <w:basedOn w:val="a0"/>
    <w:link w:val="3"/>
    <w:rsid w:val="00466176"/>
    <w:rPr>
      <w:rFonts w:asciiTheme="majorHAnsi" w:eastAsiaTheme="majorEastAsia" w:hAnsiTheme="majorHAnsi" w:cs="David"/>
      <w:sz w:val="24"/>
      <w:szCs w:val="28"/>
      <w:u w:val="double"/>
    </w:rPr>
  </w:style>
  <w:style w:type="character" w:customStyle="1" w:styleId="40">
    <w:name w:val="כותרת 4 תו"/>
    <w:basedOn w:val="a0"/>
    <w:link w:val="4"/>
    <w:uiPriority w:val="9"/>
    <w:rsid w:val="00466176"/>
    <w:rPr>
      <w:rFonts w:ascii="David" w:eastAsiaTheme="minorHAnsi" w:hAnsi="David" w:cs="David"/>
      <w:b/>
      <w:bCs/>
      <w:color w:val="000000" w:themeColor="text1"/>
      <w:sz w:val="24"/>
      <w:szCs w:val="28"/>
    </w:rPr>
  </w:style>
  <w:style w:type="character" w:customStyle="1" w:styleId="50">
    <w:name w:val="כותרת 5 תו"/>
    <w:basedOn w:val="a0"/>
    <w:link w:val="5"/>
    <w:uiPriority w:val="9"/>
    <w:rsid w:val="00466176"/>
    <w:rPr>
      <w:rFonts w:ascii="David" w:eastAsiaTheme="minorHAnsi" w:hAnsi="David" w:cs="David"/>
      <w:color w:val="000000" w:themeColor="text1"/>
      <w:sz w:val="24"/>
      <w:szCs w:val="24"/>
    </w:rPr>
  </w:style>
  <w:style w:type="paragraph" w:styleId="ae">
    <w:name w:val="TOC Heading"/>
    <w:basedOn w:val="1"/>
    <w:next w:val="a"/>
    <w:uiPriority w:val="39"/>
    <w:unhideWhenUsed/>
    <w:qFormat/>
    <w:rsid w:val="00466176"/>
    <w:pPr>
      <w:widowControl/>
      <w:spacing w:before="120" w:after="120"/>
      <w:outlineLvl w:val="9"/>
    </w:pPr>
    <w:rPr>
      <w:rtl/>
      <w:cs/>
    </w:rPr>
  </w:style>
  <w:style w:type="paragraph" w:styleId="TOC1">
    <w:name w:val="toc 1"/>
    <w:basedOn w:val="a"/>
    <w:next w:val="a"/>
    <w:autoRedefine/>
    <w:uiPriority w:val="39"/>
    <w:unhideWhenUsed/>
    <w:rsid w:val="00466176"/>
    <w:pPr>
      <w:tabs>
        <w:tab w:val="right" w:leader="dot" w:pos="9629"/>
      </w:tabs>
      <w:spacing w:after="100"/>
    </w:pPr>
    <w:rPr>
      <w:bCs/>
      <w:szCs w:val="22"/>
    </w:rPr>
  </w:style>
  <w:style w:type="paragraph" w:styleId="TOC2">
    <w:name w:val="toc 2"/>
    <w:basedOn w:val="a"/>
    <w:next w:val="a"/>
    <w:uiPriority w:val="39"/>
    <w:unhideWhenUsed/>
    <w:rsid w:val="00466176"/>
    <w:pPr>
      <w:tabs>
        <w:tab w:val="right" w:leader="dot" w:pos="9628"/>
      </w:tabs>
      <w:spacing w:after="100"/>
    </w:pPr>
    <w:rPr>
      <w:szCs w:val="22"/>
    </w:rPr>
  </w:style>
  <w:style w:type="character" w:styleId="Hyperlink">
    <w:name w:val="Hyperlink"/>
    <w:basedOn w:val="a0"/>
    <w:uiPriority w:val="99"/>
    <w:unhideWhenUsed/>
    <w:rsid w:val="00466176"/>
    <w:rPr>
      <w:color w:val="0000FF" w:themeColor="hyperlink"/>
      <w:u w:val="single"/>
    </w:rPr>
  </w:style>
  <w:style w:type="paragraph" w:styleId="TOC3">
    <w:name w:val="toc 3"/>
    <w:basedOn w:val="a"/>
    <w:next w:val="a"/>
    <w:uiPriority w:val="39"/>
    <w:unhideWhenUsed/>
    <w:rsid w:val="00466176"/>
    <w:pPr>
      <w:numPr>
        <w:numId w:val="21"/>
      </w:numPr>
      <w:tabs>
        <w:tab w:val="right" w:leader="dot" w:pos="9629"/>
      </w:tabs>
      <w:spacing w:after="100"/>
      <w:ind w:left="811" w:hanging="357"/>
    </w:pPr>
    <w:rPr>
      <w:szCs w:val="22"/>
    </w:rPr>
  </w:style>
  <w:style w:type="paragraph" w:styleId="TOC4">
    <w:name w:val="toc 4"/>
    <w:basedOn w:val="a"/>
    <w:next w:val="a"/>
    <w:autoRedefine/>
    <w:unhideWhenUsed/>
    <w:qFormat/>
    <w:rsid w:val="00466176"/>
    <w:pPr>
      <w:tabs>
        <w:tab w:val="right" w:leader="dot" w:pos="9628"/>
      </w:tabs>
      <w:spacing w:after="100"/>
      <w:ind w:left="567"/>
    </w:pPr>
    <w:rPr>
      <w:rFonts w:asciiTheme="minorHAnsi" w:eastAsiaTheme="minorEastAsia" w:hAnsiTheme="minorHAnsi"/>
      <w:noProof/>
      <w:sz w:val="22"/>
      <w:szCs w:val="22"/>
    </w:rPr>
  </w:style>
  <w:style w:type="paragraph" w:styleId="TOC5">
    <w:name w:val="toc 5"/>
    <w:basedOn w:val="a"/>
    <w:next w:val="a"/>
    <w:semiHidden/>
    <w:unhideWhenUsed/>
    <w:rsid w:val="00466176"/>
    <w:pPr>
      <w:tabs>
        <w:tab w:val="right" w:leader="dot" w:pos="9628"/>
      </w:tabs>
      <w:spacing w:after="100"/>
      <w:ind w:left="567"/>
    </w:pPr>
    <w:rPr>
      <w:szCs w:val="22"/>
    </w:rPr>
  </w:style>
  <w:style w:type="paragraph" w:styleId="TOC6">
    <w:name w:val="toc 6"/>
    <w:basedOn w:val="a"/>
    <w:next w:val="a"/>
    <w:autoRedefine/>
    <w:semiHidden/>
    <w:unhideWhenUsed/>
    <w:rsid w:val="00466176"/>
    <w:pPr>
      <w:spacing w:after="100"/>
      <w:ind w:left="850"/>
    </w:pPr>
  </w:style>
  <w:style w:type="paragraph" w:styleId="TOC7">
    <w:name w:val="toc 7"/>
    <w:basedOn w:val="a"/>
    <w:next w:val="a"/>
    <w:autoRedefine/>
    <w:semiHidden/>
    <w:unhideWhenUsed/>
    <w:rsid w:val="00466176"/>
    <w:pPr>
      <w:spacing w:after="100"/>
      <w:ind w:left="1020"/>
    </w:pPr>
  </w:style>
  <w:style w:type="paragraph" w:styleId="TOC8">
    <w:name w:val="toc 8"/>
    <w:basedOn w:val="a"/>
    <w:next w:val="a"/>
    <w:autoRedefine/>
    <w:semiHidden/>
    <w:unhideWhenUsed/>
    <w:rsid w:val="00466176"/>
    <w:pPr>
      <w:spacing w:after="100"/>
      <w:ind w:left="1190"/>
    </w:pPr>
  </w:style>
  <w:style w:type="paragraph" w:styleId="TOC9">
    <w:name w:val="toc 9"/>
    <w:basedOn w:val="a"/>
    <w:next w:val="a"/>
    <w:autoRedefine/>
    <w:semiHidden/>
    <w:unhideWhenUsed/>
    <w:rsid w:val="00466176"/>
    <w:pPr>
      <w:spacing w:after="100"/>
      <w:ind w:left="1360"/>
    </w:pPr>
  </w:style>
  <w:style w:type="paragraph" w:customStyle="1" w:styleId="TableHead2">
    <w:name w:val="Table Head2"/>
    <w:basedOn w:val="TableHead"/>
    <w:qFormat/>
    <w:rsid w:val="00466176"/>
    <w:pPr>
      <w:outlineLvl w:val="9"/>
    </w:pPr>
  </w:style>
  <w:style w:type="paragraph" w:customStyle="1" w:styleId="TableSideHeading2">
    <w:name w:val="Table SideHeading2"/>
    <w:basedOn w:val="TableSideHeading"/>
    <w:autoRedefine/>
    <w:qFormat/>
    <w:rsid w:val="00466176"/>
    <w:pPr>
      <w:keepLines w:val="0"/>
      <w:outlineLvl w:val="9"/>
    </w:pPr>
  </w:style>
  <w:style w:type="paragraph" w:customStyle="1" w:styleId="0">
    <w:name w:val="סגנון שורה ראשונה:  0  ס''מ"/>
    <w:basedOn w:val="2"/>
    <w:rsid w:val="00466176"/>
    <w:rPr>
      <w:rFonts w:eastAsia="Times New Roman"/>
    </w:rPr>
  </w:style>
  <w:style w:type="paragraph" w:styleId="af">
    <w:name w:val="List Paragraph"/>
    <w:basedOn w:val="a"/>
    <w:uiPriority w:val="34"/>
    <w:qFormat/>
    <w:rsid w:val="00466176"/>
    <w:pPr>
      <w:widowControl/>
      <w:spacing w:line="259" w:lineRule="auto"/>
    </w:pPr>
    <w:rPr>
      <w:rFonts w:asciiTheme="minorHAnsi" w:hAnsiTheme="minorHAnsi"/>
      <w:sz w:val="22"/>
    </w:rPr>
  </w:style>
  <w:style w:type="table" w:styleId="af0">
    <w:name w:val="Table Grid"/>
    <w:basedOn w:val="a1"/>
    <w:rsid w:val="0046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1">
    <w:name w:val="Plain Table 1"/>
    <w:basedOn w:val="a1"/>
    <w:uiPriority w:val="41"/>
    <w:rsid w:val="00466176"/>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2">
    <w:name w:val="Grid Table 1 Light"/>
    <w:basedOn w:val="a1"/>
    <w:uiPriority w:val="46"/>
    <w:rsid w:val="0046617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af1">
    <w:name w:val="טבלת חקיקה"/>
    <w:basedOn w:val="a1"/>
    <w:uiPriority w:val="99"/>
    <w:rsid w:val="00466176"/>
    <w:pPr>
      <w:jc w:val="center"/>
    </w:pPr>
    <w:rPr>
      <w:rFonts w:cstheme="minorBidi"/>
    </w:rPr>
    <w:tblPr/>
    <w:tcPr>
      <w:tcMar>
        <w:left w:w="0" w:type="dxa"/>
        <w:right w:w="0" w:type="dxa"/>
      </w:tcMar>
      <w:vAlign w:val="center"/>
    </w:tcPr>
    <w:tblStylePr w:type="firstRow">
      <w:pPr>
        <w:jc w:val="center"/>
      </w:pPr>
      <w:rPr>
        <w:rFonts w:cs="David"/>
        <w:bCs/>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table" w:customStyle="1" w:styleId="13">
    <w:name w:val="סגנון1"/>
    <w:basedOn w:val="a1"/>
    <w:uiPriority w:val="99"/>
    <w:rsid w:val="00466176"/>
    <w:tblPr/>
    <w:tblStylePr w:type="firstCol">
      <w:pPr>
        <w:keepNext w:val="0"/>
        <w:keepLines/>
        <w:pageBreakBefore w:val="0"/>
        <w:widowControl w:val="0"/>
        <w:suppressLineNumbers w:val="0"/>
        <w:suppressAutoHyphens w:val="0"/>
        <w:wordWrap/>
      </w:p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54E21C28B32ECF49ADBB6A5BBBCCB3CD" ma:contentTypeVersion="" ma:contentTypeDescription="צור מסמך חדש." ma:contentTypeScope="" ma:versionID="f81d89568b860eeaa06327f0f2d2f14b">
  <xsd:schema xmlns:xsd="http://www.w3.org/2001/XMLSchema" xmlns:xs="http://www.w3.org/2001/XMLSchema" xmlns:p="http://schemas.microsoft.com/office/2006/metadata/properties" xmlns:ns2="290d5b49-c690-4c6f-bbb9-1e50dab33eee" targetNamespace="http://schemas.microsoft.com/office/2006/metadata/properties" ma:root="true" ma:fieldsID="a6db6e33f8462d87724f237088727803"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0B6442EA-23B2-478F-8523-1084A577E1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0d5b49-c690-4c6f-bbb9-1e50dab33ee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8F4AFE3-9455-419C-8851-785A55F44517}">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290d5b49-c690-4c6f-bbb9-1e50dab33eee"/>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EC26BEB9-02E5-4F39-BCB3-A432E81E6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311</Words>
  <Characters>1558</Characters>
  <Application>Microsoft Office Word</Application>
  <DocSecurity>0</DocSecurity>
  <Lines>12</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טליה ווייס עמר</cp:lastModifiedBy>
  <cp:revision>6</cp:revision>
  <cp:lastPrinted>2013-07-04T08:25:00Z</cp:lastPrinted>
  <dcterms:created xsi:type="dcterms:W3CDTF">2015-04-20T09:58:00Z</dcterms:created>
  <dcterms:modified xsi:type="dcterms:W3CDTF">2023-11-15T14:10:00Z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0x01010054E21C28B32ECF49ADBB6A5BBBCCB3CD</vt:lpwstr>
  </property>
  <property fmtid="{D5CDD505-2E9C-101B-9397-08002B2CF9AE}" pid="3" name="_dlc_DocIdItemGuid">
    <vt:lpwstr>8badafff-95aa-4718-b074-a2d35988ffa8</vt:lpwstr>
  </property>
  <property fmtid="{D5CDD505-2E9C-101B-9397-08002B2CF9AE}" pid="4" name="SanhedrinDocumentType">
    <vt:r8>10</vt:r8>
  </property>
  <property fmtid="{D5CDD505-2E9C-101B-9397-08002B2CF9AE}" pid="5" name="SanhedrinItemID">
    <vt:r8>2210349</vt:r8>
  </property>
</Properties>
</file>