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E635A2" w:rsidR="0024618F" w:rsidP="0024618F" w:rsidRDefault="0024618F" w14:paraId="5E58B3DF" w14:textId="77777777">
      <w:pPr>
        <w:jc w:val="right"/>
        <w:rPr>
          <w:b/>
          <w:bCs/>
          <w:sz w:val="20"/>
          <w:szCs w:val="20"/>
        </w:rPr>
      </w:pPr>
      <w:r w:rsidRPr="00E635A2">
        <w:rPr>
          <w:rFonts w:hint="cs"/>
          <w:sz w:val="20"/>
          <w:szCs w:val="20"/>
          <w:rtl/>
        </w:rPr>
        <w:t xml:space="preserve">מספר פנימי: </w:t>
      </w:r>
      <w:bookmarkStart w:name="LGS_Internal_ID" w:id="0"/>
      <w:r>
        <w:rPr>
          <w:rFonts w:hint="cs"/>
          <w:sz w:val="20"/>
          <w:szCs w:val="20"/>
          <w:rtl/>
        </w:rPr>
        <w:t>2222182</w:t>
      </w:r>
      <w:bookmarkEnd w:id="0"/>
    </w:p>
    <w:p w:rsidRPr="00DB7060" w:rsidR="0024618F" w:rsidP="0024618F" w:rsidRDefault="0024618F" w14:paraId="0BF95359" w14:textId="7777777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name="LGS_Knesset_Num" w:id="1"/>
      <w:r>
        <w:rPr>
          <w:rFonts w:hint="cs"/>
          <w:sz w:val="28"/>
          <w:szCs w:val="28"/>
          <w:rtl/>
        </w:rPr>
        <w:t>העשרים וחמש</w:t>
      </w:r>
      <w:bookmarkEnd w:id="1"/>
    </w:p>
    <w:p w:rsidRPr="00F67051" w:rsidR="0024618F" w:rsidP="0024618F" w:rsidRDefault="0024618F" w14:paraId="76FF2EEE" w14:textId="77777777">
      <w:pPr>
        <w:rPr>
          <w:b/>
          <w:bCs/>
          <w:sz w:val="26"/>
          <w:szCs w:val="26"/>
          <w:rtl/>
        </w:rPr>
      </w:pPr>
    </w:p>
    <w:p w:rsidR="0024618F" w:rsidP="0024618F" w:rsidRDefault="0024618F" w14:paraId="36B86A1B" w14:textId="77777777">
      <w:pPr>
        <w:pStyle w:val="David"/>
        <w:ind w:left="3544"/>
        <w:rPr>
          <w:b/>
          <w:bCs/>
          <w:rtl/>
        </w:rPr>
      </w:pPr>
      <w:bookmarkStart w:name="LGS_Initiators_List" w:id="2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2"/>
      <w:r w:rsidRPr="00F67051">
        <w:rPr>
          <w:b/>
          <w:bCs/>
        </w:rPr>
        <w:tab/>
      </w:r>
      <w:bookmarkStart w:name="LGS_PM_Names" w:id="3"/>
      <w:r>
        <w:rPr>
          <w:rFonts w:hint="cs"/>
          <w:b/>
          <w:bCs/>
          <w:rtl/>
        </w:rPr>
        <w:t>ארז מלול</w:t>
      </w:r>
      <w:bookmarkEnd w:id="3"/>
    </w:p>
    <w:p w:rsidRPr="00CF1AA2" w:rsidR="0024618F" w:rsidP="0024618F" w:rsidRDefault="0024618F" w14:paraId="5BCB5B35" w14:textId="77777777">
      <w:pPr>
        <w:pStyle w:val="David"/>
        <w:ind w:left="3544"/>
        <w:rPr>
          <w:b/>
          <w:bCs/>
          <w:sz w:val="16"/>
          <w:szCs w:val="16"/>
          <w:rtl/>
        </w:rPr>
      </w:pPr>
      <w:bookmarkStart w:name="LGS_Join_List" w:id="4"/>
      <w:r>
        <w:rPr>
          <w:rtl/>
        </w:rPr>
        <w:t xml:space="preserve"> </w:t>
      </w:r>
      <w:bookmarkEnd w:id="4"/>
      <w:r w:rsidRPr="00CF1AA2">
        <w:rPr>
          <w:rFonts w:hint="cs"/>
          <w:rtl/>
        </w:rPr>
        <w:tab/>
      </w:r>
      <w:bookmarkStart w:name="LGS_PM_NamesJoin" w:id="5"/>
      <w:r>
        <w:rPr>
          <w:rFonts w:hint="cs"/>
          <w:rtl/>
        </w:rPr>
        <w:t xml:space="preserve"> </w:t>
      </w:r>
      <w:bookmarkEnd w:id="5"/>
    </w:p>
    <w:p w:rsidRPr="00904591" w:rsidR="0024618F" w:rsidP="0024618F" w:rsidRDefault="0024618F" w14:paraId="2376F272" w14:textId="77777777">
      <w:pPr>
        <w:pStyle w:val="David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:rsidRPr="00E06736" w:rsidR="0024618F" w:rsidP="0024618F" w:rsidRDefault="0024618F" w14:paraId="253FD25D" w14:textId="30CC9F1B">
      <w:pPr>
        <w:pStyle w:val="David"/>
        <w:spacing w:line="240" w:lineRule="auto"/>
        <w:ind w:left="3544"/>
        <w:rPr>
          <w:rtl/>
        </w:rPr>
      </w:pPr>
      <w:r>
        <w:t xml:space="preserve">  </w:t>
      </w:r>
      <w:r w:rsidR="00F6640A">
        <w:t xml:space="preserve">      </w:t>
      </w:r>
      <w:r>
        <w:t xml:space="preserve">                                           </w:t>
      </w:r>
      <w:bookmarkStart w:name="Private_Number" w:id="6"/>
      <w:r>
        <w:rPr>
          <w:rFonts w:hint="cs"/>
          <w:rtl/>
        </w:rPr>
        <w:t>פ/4940/25</w:t>
      </w:r>
      <w:bookmarkEnd w:id="6"/>
    </w:p>
    <w:p w:rsidR="0024618F" w:rsidP="0024618F" w:rsidRDefault="0024618F" w14:paraId="1C75F030" w14:textId="77777777">
      <w:pPr>
        <w:ind w:left="2880" w:firstLine="720"/>
        <w:rPr>
          <w:sz w:val="26"/>
          <w:szCs w:val="26"/>
          <w:rtl/>
        </w:rPr>
      </w:pPr>
    </w:p>
    <w:p w:rsidRPr="00F67051" w:rsidR="0024618F" w:rsidP="0024618F" w:rsidRDefault="0024618F" w14:paraId="738C0FF7" w14:textId="1EBD5DFF">
      <w:pPr>
        <w:pStyle w:val="HeadHatzaotHok"/>
        <w:rPr>
          <w:rtl/>
        </w:rPr>
      </w:pPr>
      <w:bookmarkStart w:name="LGS_Subject" w:id="7"/>
      <w:r xmlns:w="http://schemas.openxmlformats.org/wordprocessingml/2006/main">
        <w:rPr xmlns:w="http://schemas.openxmlformats.org/wordprocessingml/2006/main">
          <w:rFonts w:hint="cs"/>
          <w:rtl/>
        </w:rPr>
        <w:t xml:space="preserve">הצעת חוק התכנון והבנייה (תיקון – שינוי גודל מרחב מוגן דירתי), התשפ"ה–2024</w:t>
      </w:r>
      <w:bookmarkEnd w:id="7"/>
    </w:p>
    <w:p w:rsidR="0024618F" w:rsidP="0024618F" w:rsidRDefault="0024618F" w14:paraId="5F4D6F37" w14:textId="77777777">
      <w:pPr>
        <w:pStyle w:val="HeadDivreiHesber"/>
        <w:spacing w:before="0" w:after="0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20"/>
      </w:tblGrid>
      <w:tr w:rsidR="0024618F" w:rsidTr="00317833" w14:paraId="2C15E9D0" w14:textId="77777777">
        <w:trPr>
          <w:cantSplit/>
        </w:trPr>
        <w:tc>
          <w:tcPr>
            <w:tcW w:w="1869" w:type="dxa"/>
          </w:tcPr>
          <w:p w:rsidR="0024618F" w:rsidP="00F52B1B" w:rsidRDefault="0024618F" w14:paraId="38B06DD1" w14:textId="77777777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151</w:t>
            </w:r>
          </w:p>
        </w:tc>
        <w:tc>
          <w:tcPr>
            <w:tcW w:w="624" w:type="dxa"/>
          </w:tcPr>
          <w:p w:rsidR="0024618F" w:rsidP="00F52B1B" w:rsidRDefault="0024618F" w14:paraId="6371C6C9" w14:textId="77777777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:rsidRPr="00C34DE2" w:rsidR="0024618F" w:rsidP="00F65091" w:rsidRDefault="0024618F" w14:paraId="1EE40163" w14:textId="35A5D024">
            <w:pPr>
              <w:pStyle w:val="TableBlock"/>
            </w:pPr>
            <w:r w:rsidRPr="00426E22">
              <w:rPr>
                <w:sz w:val="26"/>
                <w:rtl/>
              </w:rPr>
              <w:t>בחוק התכנון והבנייה, התשכ"ה–1965‏</w:t>
            </w:r>
            <w:r w:rsidRPr="00F65091">
              <w:rPr>
                <w:rStyle w:val="a5"/>
                <w:rFonts w:ascii="David" w:hAnsi="David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>,</w:t>
            </w:r>
            <w:r>
              <w:rPr>
                <w:rFonts w:hint="cs"/>
                <w:rtl/>
              </w:rPr>
              <w:t xml:space="preserve"> בסעיף 151(ג) 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17833" w:rsidTr="00317833" w14:paraId="4EA50A68" w14:textId="77777777">
        <w:trPr>
          <w:cantSplit/>
        </w:trPr>
        <w:tc>
          <w:tcPr>
            <w:tcW w:w="1869" w:type="dxa"/>
          </w:tcPr>
          <w:p w:rsidR="00317833" w:rsidP="00F52B1B" w:rsidRDefault="00317833" w14:paraId="5FB7A8E7" w14:textId="77777777">
            <w:pPr>
              <w:pStyle w:val="TableSideHeading"/>
            </w:pPr>
          </w:p>
        </w:tc>
        <w:tc>
          <w:tcPr>
            <w:tcW w:w="624" w:type="dxa"/>
          </w:tcPr>
          <w:p w:rsidR="00317833" w:rsidP="00F52B1B" w:rsidRDefault="00317833" w14:paraId="23D785AE" w14:textId="77777777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317833" w:rsidP="00F65091" w:rsidRDefault="00317833" w14:paraId="36D2C38F" w14:textId="2D4583F5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(1), במקום "</w:t>
            </w:r>
            <w:r w:rsidRPr="00E7636D">
              <w:rPr>
                <w:rFonts w:hint="cs"/>
                <w:rtl/>
              </w:rPr>
              <w:t>השטח שנקבע לפי חוק ההתגוננות האזרחית, התשי"א</w:t>
            </w:r>
            <w:r>
              <w:rPr>
                <w:rFonts w:hint="eastAsia"/>
                <w:rtl/>
              </w:rPr>
              <w:t>–</w:t>
            </w:r>
            <w:r w:rsidRPr="00E7636D">
              <w:rPr>
                <w:rFonts w:hint="cs"/>
                <w:rtl/>
              </w:rPr>
              <w:t>1951</w:t>
            </w:r>
            <w:r>
              <w:rPr>
                <w:rFonts w:hint="cs"/>
                <w:rtl/>
              </w:rPr>
              <w:t>" יבוא "20 מ"ר";</w:t>
            </w:r>
          </w:p>
        </w:tc>
      </w:tr>
      <w:tr w:rsidR="00317833" w:rsidTr="00317833" w14:paraId="397AB776" w14:textId="77777777">
        <w:trPr>
          <w:cantSplit/>
        </w:trPr>
        <w:tc>
          <w:tcPr>
            <w:tcW w:w="1869" w:type="dxa"/>
          </w:tcPr>
          <w:p w:rsidR="00317833" w:rsidP="00F52B1B" w:rsidRDefault="00317833" w14:paraId="2C8D203C" w14:textId="77777777">
            <w:pPr>
              <w:pStyle w:val="TableSideHeading"/>
            </w:pPr>
          </w:p>
        </w:tc>
        <w:tc>
          <w:tcPr>
            <w:tcW w:w="624" w:type="dxa"/>
          </w:tcPr>
          <w:p w:rsidR="00317833" w:rsidP="00F52B1B" w:rsidRDefault="00317833" w14:paraId="3D1A5937" w14:textId="77777777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317833" w:rsidP="00317833" w:rsidRDefault="00317833" w14:paraId="67E0E33E" w14:textId="3900233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בפסקה (2)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317833" w:rsidTr="00317833" w14:paraId="05C3FDFF" w14:textId="77777777">
        <w:trPr>
          <w:cantSplit/>
        </w:trPr>
        <w:tc>
          <w:tcPr>
            <w:tcW w:w="1869" w:type="dxa"/>
          </w:tcPr>
          <w:p w:rsidR="00317833" w:rsidP="00F52B1B" w:rsidRDefault="00317833" w14:paraId="33DCFFF6" w14:textId="77777777">
            <w:pPr>
              <w:pStyle w:val="TableSideHeading"/>
            </w:pPr>
          </w:p>
        </w:tc>
        <w:tc>
          <w:tcPr>
            <w:tcW w:w="624" w:type="dxa"/>
          </w:tcPr>
          <w:p w:rsidR="00317833" w:rsidP="00F52B1B" w:rsidRDefault="00317833" w14:paraId="40544EE4" w14:textId="77777777">
            <w:pPr>
              <w:pStyle w:val="TableText"/>
            </w:pPr>
          </w:p>
        </w:tc>
        <w:tc>
          <w:tcPr>
            <w:tcW w:w="624" w:type="dxa"/>
          </w:tcPr>
          <w:p w:rsidR="00317833" w:rsidP="00F52B1B" w:rsidRDefault="00317833" w14:paraId="7D636873" w14:textId="77777777">
            <w:pPr>
              <w:pStyle w:val="TableText"/>
            </w:pPr>
          </w:p>
        </w:tc>
        <w:tc>
          <w:tcPr>
            <w:tcW w:w="6520" w:type="dxa"/>
          </w:tcPr>
          <w:p w:rsidR="00317833" w:rsidP="00317833" w:rsidRDefault="00317833" w14:paraId="61F8182A" w14:textId="64BB2AF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</w:t>
            </w:r>
            <w:r w:rsidRPr="00E7636D">
              <w:rPr>
                <w:rFonts w:hint="cs"/>
                <w:rtl/>
              </w:rPr>
              <w:t>באזור עימות, תוספת של עד 3 מ"ר" יבוא "תוספת של עד 4 מ"ר"</w:t>
            </w:r>
            <w:r>
              <w:rPr>
                <w:rFonts w:hint="cs"/>
                <w:rtl/>
              </w:rPr>
              <w:t>, המילים "(</w:t>
            </w:r>
            <w:r w:rsidRPr="00E7636D">
              <w:rPr>
                <w:rFonts w:hint="cs"/>
                <w:rtl/>
              </w:rPr>
              <w:t xml:space="preserve">בסעיף זה </w:t>
            </w:r>
            <w:r w:rsidRPr="00E7636D">
              <w:rPr>
                <w:rtl/>
              </w:rPr>
              <w:t>–</w:t>
            </w:r>
            <w:r w:rsidRPr="00E7636D">
              <w:rPr>
                <w:rFonts w:hint="cs"/>
                <w:rtl/>
              </w:rPr>
              <w:t xml:space="preserve"> שטח נוסף באזור עימות)" </w:t>
            </w:r>
            <w:r w:rsidRPr="00E7636D">
              <w:rPr>
                <w:rFonts w:hint="eastAsia"/>
                <w:rtl/>
              </w:rPr>
              <w:t>–</w:t>
            </w:r>
            <w:r w:rsidRPr="00E7636D">
              <w:rPr>
                <w:rFonts w:hint="cs"/>
                <w:rtl/>
              </w:rPr>
              <w:t xml:space="preserve"> יימחקו;</w:t>
            </w:r>
          </w:p>
        </w:tc>
      </w:tr>
      <w:tr w:rsidR="00317833" w:rsidTr="00D9786B" w14:paraId="3A2A737F" w14:textId="77777777">
        <w:trPr>
          <w:cantSplit/>
        </w:trPr>
        <w:tc>
          <w:tcPr>
            <w:tcW w:w="1869" w:type="dxa"/>
          </w:tcPr>
          <w:p w:rsidR="00317833" w:rsidP="00F52B1B" w:rsidRDefault="00317833" w14:paraId="4AF3C0FB" w14:textId="77777777">
            <w:pPr>
              <w:pStyle w:val="TableSideHeading"/>
            </w:pPr>
          </w:p>
        </w:tc>
        <w:tc>
          <w:tcPr>
            <w:tcW w:w="624" w:type="dxa"/>
          </w:tcPr>
          <w:p w:rsidR="00317833" w:rsidP="00F52B1B" w:rsidRDefault="00317833" w14:paraId="043F3082" w14:textId="77777777">
            <w:pPr>
              <w:pStyle w:val="TableText"/>
            </w:pPr>
          </w:p>
        </w:tc>
        <w:tc>
          <w:tcPr>
            <w:tcW w:w="624" w:type="dxa"/>
          </w:tcPr>
          <w:p w:rsidR="00317833" w:rsidP="00F52B1B" w:rsidRDefault="00317833" w14:paraId="07349E1B" w14:textId="77777777">
            <w:pPr>
              <w:pStyle w:val="TableText"/>
            </w:pPr>
            <w:bookmarkStart w:name="_GoBack" w:id="8"/>
            <w:bookmarkEnd w:id="8"/>
          </w:p>
        </w:tc>
        <w:tc>
          <w:tcPr>
            <w:tcW w:w="6520" w:type="dxa"/>
          </w:tcPr>
          <w:p w:rsidR="00317833" w:rsidP="00317833" w:rsidRDefault="00317833" w14:paraId="5168BD13" w14:textId="67442BB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ההגדרה "אזור עימות"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תימחק.</w:t>
            </w:r>
          </w:p>
        </w:tc>
      </w:tr>
    </w:tbl>
    <w:p w:rsidR="0024618F" w:rsidP="0024618F" w:rsidRDefault="0024618F" w14:paraId="746EC6D1" w14:textId="77777777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24618F" w:rsidP="00317833" w:rsidRDefault="0024618F" w14:paraId="58CE2C32" w14:textId="77777777">
      <w:pPr>
        <w:pStyle w:val="Hesber"/>
        <w:rPr>
          <w:rtl/>
        </w:rPr>
      </w:pPr>
      <w:r w:rsidRPr="00317833">
        <w:rPr>
          <w:rtl/>
        </w:rPr>
        <w:t>מרחב</w:t>
      </w:r>
      <w:r w:rsidRPr="000D7985">
        <w:rPr>
          <w:rtl/>
        </w:rPr>
        <w:t xml:space="preserve"> מוגן דירתי</w:t>
      </w:r>
      <w:r w:rsidRPr="000D7985">
        <w:rPr>
          <w:rFonts w:hint="cs"/>
          <w:rtl/>
        </w:rPr>
        <w:t xml:space="preserve"> (ממ"ד)</w:t>
      </w:r>
      <w:r w:rsidRPr="000D7985">
        <w:rPr>
          <w:rtl/>
        </w:rPr>
        <w:t xml:space="preserve"> </w:t>
      </w:r>
      <w:r>
        <w:rPr>
          <w:rFonts w:hint="cs"/>
          <w:rtl/>
        </w:rPr>
        <w:t xml:space="preserve">מספק מיגון </w:t>
      </w:r>
      <w:r w:rsidRPr="000D7985">
        <w:rPr>
          <w:rFonts w:hint="cs"/>
          <w:rtl/>
        </w:rPr>
        <w:t>ב</w:t>
      </w:r>
      <w:r w:rsidRPr="000D7985">
        <w:rPr>
          <w:rtl/>
        </w:rPr>
        <w:t xml:space="preserve">מצבי חירום </w:t>
      </w:r>
      <w:r>
        <w:rPr>
          <w:rFonts w:hint="cs"/>
          <w:rtl/>
        </w:rPr>
        <w:t>בפני ה</w:t>
      </w:r>
      <w:r w:rsidRPr="000D7985">
        <w:rPr>
          <w:rtl/>
        </w:rPr>
        <w:t>תקפ</w:t>
      </w:r>
      <w:r w:rsidRPr="000D7985">
        <w:rPr>
          <w:rFonts w:hint="cs"/>
          <w:rtl/>
        </w:rPr>
        <w:t>ו</w:t>
      </w:r>
      <w:r w:rsidRPr="000D7985">
        <w:rPr>
          <w:rtl/>
        </w:rPr>
        <w:t>ת רקטות וטילים</w:t>
      </w:r>
      <w:r w:rsidRPr="000D7985">
        <w:rPr>
          <w:rFonts w:hint="cs"/>
          <w:rtl/>
        </w:rPr>
        <w:t>.</w:t>
      </w:r>
      <w:r w:rsidRPr="000D7985">
        <w:t xml:space="preserve"> </w:t>
      </w:r>
      <w:r w:rsidRPr="000D7985">
        <w:rPr>
          <w:rFonts w:hint="cs"/>
          <w:rtl/>
        </w:rPr>
        <w:t xml:space="preserve">האירועים בשנה האחרונה הראו כי </w:t>
      </w:r>
      <w:r w:rsidRPr="000D7985">
        <w:rPr>
          <w:rtl/>
        </w:rPr>
        <w:t>המרחבים המוגנים הביתיים התגלו</w:t>
      </w:r>
      <w:r w:rsidRPr="000D7985">
        <w:rPr>
          <w:rFonts w:hint="cs"/>
          <w:rtl/>
        </w:rPr>
        <w:t xml:space="preserve"> גם </w:t>
      </w:r>
      <w:r w:rsidRPr="000D7985">
        <w:rPr>
          <w:rtl/>
        </w:rPr>
        <w:t>כיעילים נגד יריות של נשקים ופיצוצי רימו</w:t>
      </w:r>
      <w:r>
        <w:rPr>
          <w:rFonts w:hint="cs"/>
          <w:rtl/>
        </w:rPr>
        <w:t xml:space="preserve">ן, </w:t>
      </w:r>
      <w:r w:rsidRPr="000D7985">
        <w:rPr>
          <w:rFonts w:hint="cs"/>
          <w:rtl/>
        </w:rPr>
        <w:t xml:space="preserve"> ואף מנעו חדירה של מחבלים ופג</w:t>
      </w:r>
      <w:r>
        <w:rPr>
          <w:rFonts w:hint="cs"/>
          <w:rtl/>
        </w:rPr>
        <w:t xml:space="preserve">יעה ביושבי הבית. </w:t>
      </w:r>
      <w:r w:rsidRPr="000D7985">
        <w:rPr>
          <w:rFonts w:hint="cs"/>
          <w:rtl/>
        </w:rPr>
        <w:t xml:space="preserve">יתרונו </w:t>
      </w:r>
      <w:r w:rsidRPr="000D7985">
        <w:rPr>
          <w:rtl/>
        </w:rPr>
        <w:t xml:space="preserve">של הממ"ד על פני הפתרונות הישנים של המקלטים הוא </w:t>
      </w:r>
      <w:r w:rsidRPr="000D7985">
        <w:rPr>
          <w:rFonts w:hint="cs"/>
          <w:rtl/>
        </w:rPr>
        <w:t>בכך שהוא נ</w:t>
      </w:r>
      <w:r>
        <w:rPr>
          <w:rFonts w:hint="cs"/>
          <w:rtl/>
        </w:rPr>
        <w:t>מ</w:t>
      </w:r>
      <w:r w:rsidRPr="000D7985">
        <w:rPr>
          <w:rFonts w:hint="cs"/>
          <w:rtl/>
        </w:rPr>
        <w:t>צא בתוך הבית עצמו וההגעה אליו היא מהירה</w:t>
      </w:r>
      <w:r>
        <w:rPr>
          <w:rFonts w:hint="cs"/>
          <w:rtl/>
        </w:rPr>
        <w:t xml:space="preserve"> יחסית</w:t>
      </w:r>
      <w:r w:rsidRPr="00E7636D">
        <w:rPr>
          <w:rtl/>
        </w:rPr>
        <w:t>.</w:t>
      </w:r>
    </w:p>
    <w:p w:rsidRPr="00E7636D" w:rsidR="0024618F" w:rsidP="00F65091" w:rsidRDefault="0024618F" w14:paraId="78826622" w14:textId="48E8A7F0">
      <w:pPr>
        <w:pStyle w:val="Hesber"/>
        <w:rPr>
          <w:rtl/>
        </w:rPr>
      </w:pPr>
      <w:r w:rsidRPr="00E7636D">
        <w:rPr>
          <w:rtl/>
        </w:rPr>
        <w:t xml:space="preserve"> </w:t>
      </w:r>
      <w:r>
        <w:rPr>
          <w:rFonts w:hint="cs"/>
          <w:rtl/>
        </w:rPr>
        <w:t xml:space="preserve">ההגדרות וההוראות </w:t>
      </w:r>
      <w:r w:rsidR="00F65091">
        <w:rPr>
          <w:rFonts w:hint="cs"/>
          <w:rtl/>
        </w:rPr>
        <w:t xml:space="preserve">הקיימות לעניין ממ"דים נקבעו </w:t>
      </w:r>
      <w:r>
        <w:rPr>
          <w:rFonts w:hint="cs"/>
          <w:rtl/>
        </w:rPr>
        <w:t xml:space="preserve">בשנות </w:t>
      </w:r>
      <w:r w:rsidRPr="00F65091">
        <w:rPr>
          <w:rFonts w:hint="cs"/>
          <w:rtl/>
        </w:rPr>
        <w:t>התשעים</w:t>
      </w:r>
      <w:r>
        <w:rPr>
          <w:rFonts w:hint="cs"/>
          <w:rtl/>
        </w:rPr>
        <w:t>,</w:t>
      </w:r>
      <w:r w:rsidRPr="00E7636D">
        <w:rPr>
          <w:rFonts w:hint="cs"/>
          <w:rtl/>
        </w:rPr>
        <w:t xml:space="preserve"> </w:t>
      </w:r>
      <w:r w:rsidR="00F65091">
        <w:rPr>
          <w:rFonts w:hint="cs"/>
          <w:rtl/>
        </w:rPr>
        <w:t>כאשר נבחרי הציבור לא ד</w:t>
      </w:r>
      <w:r w:rsidRPr="00E7636D">
        <w:rPr>
          <w:rFonts w:hint="cs"/>
          <w:rtl/>
        </w:rPr>
        <w:t>מ</w:t>
      </w:r>
      <w:r>
        <w:rPr>
          <w:rFonts w:hint="cs"/>
          <w:rtl/>
        </w:rPr>
        <w:t>יי</w:t>
      </w:r>
      <w:r w:rsidRPr="00E7636D">
        <w:rPr>
          <w:rFonts w:hint="cs"/>
          <w:rtl/>
        </w:rPr>
        <w:t>נו את התרחישים הביטחוניים</w:t>
      </w:r>
      <w:r>
        <w:rPr>
          <w:rFonts w:hint="cs"/>
          <w:rtl/>
        </w:rPr>
        <w:t xml:space="preserve"> שהלכו והקצינו בשני </w:t>
      </w:r>
      <w:r w:rsidR="005944E0">
        <w:rPr>
          <w:rFonts w:hint="cs"/>
          <w:rtl/>
        </w:rPr>
        <w:t>העשורים האחרונים</w:t>
      </w:r>
      <w:r w:rsidRPr="00E763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F65091" w:rsidR="00F65091">
        <w:rPr>
          <w:rtl/>
        </w:rPr>
        <w:t>על אף השנים הרבות שחלפו וריבוי האיומים על מדינת ישראל, ההוראות הישנות לא השתנו</w:t>
      </w:r>
      <w:r w:rsidR="00F65091">
        <w:rPr>
          <w:rFonts w:hint="cs"/>
          <w:rtl/>
        </w:rPr>
        <w:t>.</w:t>
      </w:r>
      <w:r w:rsidRPr="00F65091" w:rsidR="00F65091">
        <w:rPr>
          <w:rFonts w:hint="cs"/>
          <w:rtl/>
        </w:rPr>
        <w:t xml:space="preserve"> </w:t>
      </w:r>
      <w:r>
        <w:rPr>
          <w:rFonts w:hint="cs"/>
          <w:rtl/>
        </w:rPr>
        <w:t>על כן, ההוראות וההגדרות שנקבעו לעניין הממ"</w:t>
      </w:r>
      <w:r w:rsidR="00F65091">
        <w:rPr>
          <w:rFonts w:hint="cs"/>
          <w:rtl/>
        </w:rPr>
        <w:t>ד לרבות</w:t>
      </w:r>
      <w:r w:rsidRPr="00E7636D">
        <w:rPr>
          <w:rFonts w:hint="cs"/>
          <w:rtl/>
        </w:rPr>
        <w:t xml:space="preserve"> </w:t>
      </w:r>
      <w:r w:rsidRPr="00E7636D">
        <w:rPr>
          <w:rtl/>
        </w:rPr>
        <w:t xml:space="preserve">זמינותו </w:t>
      </w:r>
      <w:r w:rsidRPr="00E7636D">
        <w:rPr>
          <w:rFonts w:hint="cs"/>
          <w:rtl/>
        </w:rPr>
        <w:t>ו</w:t>
      </w:r>
      <w:r>
        <w:rPr>
          <w:rFonts w:hint="cs"/>
          <w:rtl/>
        </w:rPr>
        <w:t>שטחו של הממ"ד</w:t>
      </w:r>
      <w:r w:rsidRPr="00E7636D">
        <w:rPr>
          <w:rtl/>
        </w:rPr>
        <w:t xml:space="preserve"> במתכונתו הנוכחי</w:t>
      </w:r>
      <w:r w:rsidRPr="00E7636D">
        <w:rPr>
          <w:rFonts w:hint="cs"/>
          <w:rtl/>
        </w:rPr>
        <w:t>ת</w:t>
      </w:r>
      <w:r w:rsidRPr="00E7636D">
        <w:rPr>
          <w:rtl/>
        </w:rPr>
        <w:t xml:space="preserve"> </w:t>
      </w:r>
      <w:r w:rsidRPr="00E7636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אינן מהוות </w:t>
      </w:r>
      <w:r w:rsidRPr="00E7636D">
        <w:rPr>
          <w:rtl/>
        </w:rPr>
        <w:t>פתרון מספק לאזרחים</w:t>
      </w:r>
      <w:r>
        <w:rPr>
          <w:rFonts w:hint="cs"/>
          <w:rtl/>
        </w:rPr>
        <w:t>,</w:t>
      </w:r>
      <w:r w:rsidRPr="00E7636D">
        <w:rPr>
          <w:rtl/>
        </w:rPr>
        <w:t xml:space="preserve"> ש</w:t>
      </w:r>
      <w:r>
        <w:rPr>
          <w:rFonts w:hint="cs"/>
          <w:rtl/>
        </w:rPr>
        <w:t>נבחרי הציבור</w:t>
      </w:r>
      <w:r w:rsidRPr="00E7636D">
        <w:rPr>
          <w:rtl/>
        </w:rPr>
        <w:t xml:space="preserve"> אמונים על ביטחונם ועל תחושת ביטחונם.  </w:t>
      </w:r>
    </w:p>
    <w:p w:rsidRPr="00E7636D" w:rsidR="0024618F" w:rsidP="0024618F" w:rsidRDefault="00F65091" w14:paraId="3D951CBD" w14:textId="4C2F3439">
      <w:pPr>
        <w:pStyle w:val="Hesber"/>
        <w:rPr>
          <w:rtl/>
        </w:rPr>
      </w:pPr>
      <w:r>
        <w:rPr>
          <w:rFonts w:hint="cs"/>
          <w:rtl/>
        </w:rPr>
        <w:t>תפקיד נבחרי הציבור</w:t>
      </w:r>
      <w:r w:rsidR="0024618F">
        <w:rPr>
          <w:rFonts w:hint="cs"/>
          <w:rtl/>
        </w:rPr>
        <w:t xml:space="preserve"> </w:t>
      </w:r>
      <w:r w:rsidRPr="00E7636D" w:rsidR="0024618F">
        <w:rPr>
          <w:rtl/>
        </w:rPr>
        <w:t>הוא להעניק</w:t>
      </w:r>
      <w:r>
        <w:rPr>
          <w:rFonts w:hint="cs"/>
          <w:rtl/>
        </w:rPr>
        <w:t>,</w:t>
      </w:r>
      <w:r w:rsidRPr="00E7636D" w:rsidR="0024618F">
        <w:rPr>
          <w:rtl/>
        </w:rPr>
        <w:t xml:space="preserve"> מעבר לביטחון ו</w:t>
      </w:r>
      <w:r w:rsidR="0024618F">
        <w:rPr>
          <w:rFonts w:hint="cs"/>
          <w:rtl/>
        </w:rPr>
        <w:t>ה</w:t>
      </w:r>
      <w:r w:rsidRPr="00E7636D" w:rsidR="0024618F">
        <w:rPr>
          <w:rtl/>
        </w:rPr>
        <w:t xml:space="preserve">הגנה על אזרחי מדינת ישראל, גם תחושת ביטחון. תחושת הביטחון היא </w:t>
      </w:r>
      <w:r w:rsidR="0024618F">
        <w:rPr>
          <w:rFonts w:hint="cs"/>
          <w:rtl/>
        </w:rPr>
        <w:t>ה</w:t>
      </w:r>
      <w:r w:rsidRPr="00E7636D" w:rsidR="0024618F">
        <w:rPr>
          <w:rtl/>
        </w:rPr>
        <w:t>דבר החשוב ביותר לאזרח. יותר מפגיע</w:t>
      </w:r>
      <w:r w:rsidR="0024618F">
        <w:rPr>
          <w:rFonts w:hint="cs"/>
          <w:rtl/>
        </w:rPr>
        <w:t>ת ה</w:t>
      </w:r>
      <w:r w:rsidRPr="00E7636D" w:rsidR="0024618F">
        <w:rPr>
          <w:rtl/>
        </w:rPr>
        <w:t xml:space="preserve">טילים, נפגעו אזרחי ישראל </w:t>
      </w:r>
      <w:r w:rsidRPr="00E7636D" w:rsidR="0024618F">
        <w:rPr>
          <w:rtl/>
        </w:rPr>
        <w:lastRenderedPageBreak/>
        <w:t>מה</w:t>
      </w:r>
      <w:r w:rsidR="0024618F">
        <w:rPr>
          <w:rFonts w:hint="cs"/>
          <w:rtl/>
        </w:rPr>
        <w:t>ריצה</w:t>
      </w:r>
      <w:r w:rsidRPr="00E7636D" w:rsidR="0024618F">
        <w:rPr>
          <w:rtl/>
        </w:rPr>
        <w:t xml:space="preserve"> אל הממ"ד, מהלחץ הנפשי והחרדות</w:t>
      </w:r>
      <w:r w:rsidR="0024618F">
        <w:rPr>
          <w:rFonts w:hint="cs"/>
          <w:rtl/>
        </w:rPr>
        <w:t xml:space="preserve"> ו</w:t>
      </w:r>
      <w:r>
        <w:rPr>
          <w:rFonts w:hint="cs"/>
          <w:rtl/>
        </w:rPr>
        <w:t>יש</w:t>
      </w:r>
      <w:r w:rsidRPr="00E7636D" w:rsidR="0024618F">
        <w:rPr>
          <w:rtl/>
        </w:rPr>
        <w:t xml:space="preserve"> לעשות כ</w:t>
      </w:r>
      <w:r>
        <w:rPr>
          <w:rFonts w:hint="cs"/>
          <w:rtl/>
        </w:rPr>
        <w:t>כל שניתן</w:t>
      </w:r>
      <w:r w:rsidR="0024618F">
        <w:rPr>
          <w:rFonts w:hint="cs"/>
          <w:rtl/>
        </w:rPr>
        <w:t xml:space="preserve"> על מנת</w:t>
      </w:r>
      <w:r w:rsidRPr="00E7636D" w:rsidR="0024618F">
        <w:rPr>
          <w:rtl/>
        </w:rPr>
        <w:t xml:space="preserve"> להגן ולהקל עליהם. </w:t>
      </w:r>
    </w:p>
    <w:p w:rsidRPr="00E7636D" w:rsidR="0024618F" w:rsidP="0024618F" w:rsidRDefault="0024618F" w14:paraId="1C7C5834" w14:textId="77777777">
      <w:pPr>
        <w:pStyle w:val="Hesber"/>
        <w:rPr>
          <w:rtl/>
        </w:rPr>
      </w:pPr>
      <w:r w:rsidRPr="00E7636D">
        <w:rPr>
          <w:rtl/>
        </w:rPr>
        <w:t>הממ"ד במתכונתו הנוכחית מוגבל בגודלו</w:t>
      </w:r>
      <w:r>
        <w:rPr>
          <w:rFonts w:hint="cs"/>
          <w:rtl/>
        </w:rPr>
        <w:t xml:space="preserve"> ו</w:t>
      </w:r>
      <w:r w:rsidRPr="00E7636D">
        <w:rPr>
          <w:rtl/>
        </w:rPr>
        <w:t>מוגבל במספר הנפשות שיכול</w:t>
      </w:r>
      <w:r w:rsidRPr="00E7636D">
        <w:rPr>
          <w:rFonts w:hint="cs"/>
          <w:rtl/>
        </w:rPr>
        <w:t>ות</w:t>
      </w:r>
      <w:r w:rsidRPr="00E7636D">
        <w:rPr>
          <w:rtl/>
        </w:rPr>
        <w:t xml:space="preserve"> לישון</w:t>
      </w:r>
      <w:r>
        <w:rPr>
          <w:rFonts w:hint="cs"/>
          <w:rtl/>
        </w:rPr>
        <w:t xml:space="preserve"> ו</w:t>
      </w:r>
      <w:r w:rsidRPr="00E7636D">
        <w:rPr>
          <w:rFonts w:hint="cs"/>
          <w:rtl/>
        </w:rPr>
        <w:t>לשהות</w:t>
      </w:r>
      <w:r w:rsidRPr="00E7636D">
        <w:rPr>
          <w:rtl/>
        </w:rPr>
        <w:t xml:space="preserve"> בו לזמן ממושך בתקופת הסלמה</w:t>
      </w:r>
      <w:r>
        <w:rPr>
          <w:rFonts w:hint="cs"/>
          <w:rtl/>
        </w:rPr>
        <w:t xml:space="preserve">. </w:t>
      </w:r>
      <w:r w:rsidRPr="00E7636D">
        <w:rPr>
          <w:rtl/>
        </w:rPr>
        <w:t xml:space="preserve">הוא </w:t>
      </w:r>
      <w:r>
        <w:rPr>
          <w:rFonts w:hint="cs"/>
          <w:rtl/>
        </w:rPr>
        <w:t xml:space="preserve">אינו נותן מענה מספיק </w:t>
      </w:r>
      <w:r w:rsidRPr="00E7636D">
        <w:rPr>
          <w:rtl/>
        </w:rPr>
        <w:t xml:space="preserve">לקשישים, לנכים </w:t>
      </w:r>
      <w:r>
        <w:rPr>
          <w:rFonts w:hint="cs"/>
          <w:rtl/>
        </w:rPr>
        <w:t>ו</w:t>
      </w:r>
      <w:r w:rsidRPr="00E7636D">
        <w:rPr>
          <w:rtl/>
        </w:rPr>
        <w:t>ל</w:t>
      </w:r>
      <w:r>
        <w:rPr>
          <w:rFonts w:hint="cs"/>
          <w:rtl/>
        </w:rPr>
        <w:t>אלו שסובלים מ</w:t>
      </w:r>
      <w:r w:rsidRPr="00E7636D">
        <w:rPr>
          <w:rtl/>
        </w:rPr>
        <w:t>חרד</w:t>
      </w:r>
      <w:r>
        <w:rPr>
          <w:rFonts w:hint="cs"/>
          <w:rtl/>
        </w:rPr>
        <w:t>ה.</w:t>
      </w:r>
      <w:r w:rsidRPr="00E7636D">
        <w:rPr>
          <w:rtl/>
        </w:rPr>
        <w:t xml:space="preserve"> </w:t>
      </w:r>
      <w:r>
        <w:rPr>
          <w:rFonts w:hint="cs"/>
          <w:rtl/>
        </w:rPr>
        <w:t>כמו כן הוא אינו נותן מענה</w:t>
      </w:r>
      <w:r w:rsidRPr="00E7636D">
        <w:rPr>
          <w:rtl/>
        </w:rPr>
        <w:t xml:space="preserve"> לכל בני הבית בתקופת הסלמה, </w:t>
      </w:r>
      <w:r>
        <w:rPr>
          <w:rFonts w:hint="cs"/>
          <w:rtl/>
        </w:rPr>
        <w:t>מכיוון שהם</w:t>
      </w:r>
      <w:r w:rsidRPr="00E7636D">
        <w:rPr>
          <w:rtl/>
        </w:rPr>
        <w:t xml:space="preserve"> חוששים מלשהות בחדר</w:t>
      </w:r>
      <w:r>
        <w:rPr>
          <w:rFonts w:hint="cs"/>
          <w:rtl/>
        </w:rPr>
        <w:t>ים שמחוץ לממ"ד</w:t>
      </w:r>
      <w:r w:rsidRPr="00E7636D">
        <w:rPr>
          <w:rtl/>
        </w:rPr>
        <w:t>, פן תשמע אזעקה</w:t>
      </w:r>
      <w:r w:rsidRPr="00E7636D">
        <w:rPr>
          <w:rFonts w:hint="cs"/>
          <w:rtl/>
        </w:rPr>
        <w:t xml:space="preserve">. </w:t>
      </w:r>
      <w:r w:rsidRPr="00E7636D">
        <w:rPr>
          <w:rtl/>
        </w:rPr>
        <w:t>ככל ש</w:t>
      </w:r>
      <w:r>
        <w:rPr>
          <w:rFonts w:hint="cs"/>
          <w:rtl/>
        </w:rPr>
        <w:t xml:space="preserve">שטח </w:t>
      </w:r>
      <w:r w:rsidRPr="00E7636D">
        <w:rPr>
          <w:rtl/>
        </w:rPr>
        <w:t>הממ"ד</w:t>
      </w:r>
      <w:r>
        <w:rPr>
          <w:rFonts w:hint="cs"/>
          <w:rtl/>
        </w:rPr>
        <w:t xml:space="preserve"> קטן יותר</w:t>
      </w:r>
      <w:r w:rsidRPr="00E7636D">
        <w:rPr>
          <w:rtl/>
        </w:rPr>
        <w:t xml:space="preserve"> וזמין פחות, כך מפלס החרדה עולה ואיכות החיים של האזרחים נפגעת ואית</w:t>
      </w:r>
      <w:r>
        <w:rPr>
          <w:rFonts w:hint="cs"/>
          <w:rtl/>
        </w:rPr>
        <w:t>ה</w:t>
      </w:r>
      <w:r w:rsidRPr="00E7636D">
        <w:rPr>
          <w:rtl/>
        </w:rPr>
        <w:t xml:space="preserve"> החוסן הלאומי שאמור להעניק למקבלי החלטות מרחב פעולה.</w:t>
      </w:r>
    </w:p>
    <w:p w:rsidR="0024618F" w:rsidP="0024618F" w:rsidRDefault="0024618F" w14:paraId="695078B0" w14:textId="3C72C9BE">
      <w:pPr>
        <w:pStyle w:val="Hesber"/>
        <w:rPr>
          <w:rtl/>
        </w:rPr>
      </w:pPr>
      <w:r w:rsidRPr="00E7636D">
        <w:rPr>
          <w:rtl/>
        </w:rPr>
        <w:t>כיום חוק התכנון</w:t>
      </w:r>
      <w:r>
        <w:rPr>
          <w:rFonts w:hint="cs"/>
          <w:rtl/>
        </w:rPr>
        <w:t xml:space="preserve"> והבנייה </w:t>
      </w:r>
      <w:r w:rsidR="00F65091">
        <w:rPr>
          <w:rFonts w:hint="cs"/>
          <w:rtl/>
        </w:rPr>
        <w:t xml:space="preserve">קובע כי תוספת שטח של עד 12 מ"ר </w:t>
      </w:r>
      <w:r>
        <w:rPr>
          <w:rFonts w:hint="cs"/>
          <w:rtl/>
        </w:rPr>
        <w:t xml:space="preserve">לצורך ממ"ד לא תיחשב סטייה ניכרת ולכן לא תדרוש תיקון של תכנית. בנוסף קובע החוק כי באזור עימות תתאפשר הוספה של 3 מ"ר נוספים לממ"ד שישמשו שירותים או חדר רחצה. </w:t>
      </w:r>
      <w:r w:rsidRPr="00E7636D">
        <w:rPr>
          <w:rtl/>
        </w:rPr>
        <w:t xml:space="preserve"> </w:t>
      </w:r>
    </w:p>
    <w:p w:rsidRPr="00E7636D" w:rsidR="0024618F" w:rsidP="0024618F" w:rsidRDefault="0024618F" w14:paraId="4F32E1D0" w14:textId="1A7B4231">
      <w:pPr>
        <w:pStyle w:val="Hesber"/>
        <w:rPr>
          <w:rtl/>
        </w:rPr>
      </w:pPr>
      <w:r w:rsidRPr="00E7636D">
        <w:rPr>
          <w:rtl/>
        </w:rPr>
        <w:t xml:space="preserve">הצעה חוק זו, </w:t>
      </w:r>
      <w:r>
        <w:rPr>
          <w:rFonts w:hint="cs"/>
          <w:rtl/>
        </w:rPr>
        <w:t xml:space="preserve">מבקשת  לתקן את ההוראות לעניין הקמת ממ"ד כך שתתאפשר בו </w:t>
      </w:r>
      <w:r w:rsidRPr="00E7636D">
        <w:rPr>
          <w:rtl/>
        </w:rPr>
        <w:t>שהייה ממושכת, לינה בתקופת ח</w:t>
      </w:r>
      <w:r>
        <w:rPr>
          <w:rFonts w:hint="cs"/>
          <w:rtl/>
        </w:rPr>
        <w:t>י</w:t>
      </w:r>
      <w:r w:rsidRPr="00E7636D">
        <w:rPr>
          <w:rtl/>
        </w:rPr>
        <w:t xml:space="preserve">רום </w:t>
      </w:r>
      <w:r>
        <w:rPr>
          <w:rFonts w:hint="cs"/>
          <w:rtl/>
        </w:rPr>
        <w:t>ושהות</w:t>
      </w:r>
      <w:r w:rsidRPr="00E7636D">
        <w:rPr>
          <w:rtl/>
        </w:rPr>
        <w:t xml:space="preserve"> של מספר נפשות רב יותר.</w:t>
      </w:r>
      <w:r w:rsidR="00D375BB">
        <w:rPr>
          <w:rFonts w:hint="cs"/>
          <w:rtl/>
        </w:rPr>
        <w:t xml:space="preserve"> על כן, מוצע להגדיל</w:t>
      </w:r>
      <w:r w:rsidRPr="00E7636D">
        <w:rPr>
          <w:rtl/>
        </w:rPr>
        <w:t xml:space="preserve"> את </w:t>
      </w:r>
      <w:r w:rsidR="00D375BB">
        <w:rPr>
          <w:rFonts w:hint="cs"/>
          <w:rtl/>
        </w:rPr>
        <w:t>תוספת השטח כאמור ל- 20 מ"ר</w:t>
      </w:r>
      <w:r w:rsidRPr="00E7636D">
        <w:rPr>
          <w:rtl/>
        </w:rPr>
        <w:t xml:space="preserve"> </w:t>
      </w:r>
      <w:r>
        <w:rPr>
          <w:rFonts w:hint="cs"/>
          <w:rtl/>
        </w:rPr>
        <w:t>ולאפשר הוספה של  4 מ"ר נוספ</w:t>
      </w:r>
      <w:r w:rsidR="00D375BB">
        <w:rPr>
          <w:rFonts w:hint="cs"/>
          <w:rtl/>
        </w:rPr>
        <w:t xml:space="preserve">ים שישמשו לשירותים או חדר רחצה </w:t>
      </w:r>
      <w:r>
        <w:rPr>
          <w:rFonts w:hint="cs"/>
          <w:rtl/>
        </w:rPr>
        <w:t xml:space="preserve">בכל הארץ ולא רק באזורי עימות. </w:t>
      </w:r>
    </w:p>
    <w:p w:rsidRPr="00E7636D" w:rsidR="0024618F" w:rsidP="00497D51" w:rsidRDefault="00D375BB" w14:paraId="6E0DB549" w14:textId="6FDD296F">
      <w:pPr>
        <w:pStyle w:val="Hesber"/>
        <w:rPr>
          <w:rtl/>
        </w:rPr>
      </w:pPr>
      <w:r>
        <w:rPr>
          <w:rtl/>
        </w:rPr>
        <w:t xml:space="preserve">הצעת החוק </w:t>
      </w:r>
      <w:r>
        <w:rPr>
          <w:rFonts w:hint="cs"/>
          <w:rtl/>
        </w:rPr>
        <w:t>מתייחסת הן</w:t>
      </w:r>
      <w:r w:rsidRPr="00E7636D" w:rsidR="0024618F">
        <w:rPr>
          <w:rtl/>
        </w:rPr>
        <w:t xml:space="preserve"> לתוכניות חד</w:t>
      </w:r>
      <w:r>
        <w:rPr>
          <w:rtl/>
        </w:rPr>
        <w:t>שות ו</w:t>
      </w:r>
      <w:r>
        <w:rPr>
          <w:rFonts w:hint="cs"/>
          <w:rtl/>
        </w:rPr>
        <w:t xml:space="preserve">הן </w:t>
      </w:r>
      <w:r>
        <w:rPr>
          <w:rtl/>
        </w:rPr>
        <w:t>כתוספת למבנים קיימים.</w:t>
      </w:r>
      <w:r w:rsidR="0024618F">
        <w:rPr>
          <w:rFonts w:hint="cs"/>
          <w:rtl/>
        </w:rPr>
        <w:t xml:space="preserve"> עלות הבנייה של הגדלת הממ"ד היא</w:t>
      </w:r>
      <w:r w:rsidRPr="00E7636D" w:rsidR="0024618F">
        <w:rPr>
          <w:rFonts w:hint="cs"/>
          <w:rtl/>
        </w:rPr>
        <w:t xml:space="preserve"> עלות שולית יחסית</w:t>
      </w:r>
      <w:r w:rsidR="0024618F">
        <w:rPr>
          <w:rFonts w:hint="cs"/>
          <w:rtl/>
        </w:rPr>
        <w:t>.</w:t>
      </w:r>
      <w:r w:rsidRPr="00E7636D" w:rsidR="0024618F">
        <w:rPr>
          <w:rFonts w:hint="cs"/>
          <w:rtl/>
        </w:rPr>
        <w:t xml:space="preserve"> תוספת ה</w:t>
      </w:r>
      <w:r w:rsidR="0024618F">
        <w:rPr>
          <w:rFonts w:hint="cs"/>
          <w:rtl/>
        </w:rPr>
        <w:t xml:space="preserve">שטח </w:t>
      </w:r>
      <w:r w:rsidRPr="00E7636D" w:rsidR="0024618F">
        <w:rPr>
          <w:rFonts w:hint="cs"/>
          <w:rtl/>
        </w:rPr>
        <w:t>מסתכמת בכ</w:t>
      </w:r>
      <w:r>
        <w:rPr>
          <w:rFonts w:hint="cs"/>
          <w:rtl/>
        </w:rPr>
        <w:t>-2000 שקלים</w:t>
      </w:r>
      <w:r w:rsidRPr="00E7636D" w:rsidR="0024618F">
        <w:rPr>
          <w:rFonts w:hint="cs"/>
          <w:rtl/>
        </w:rPr>
        <w:t xml:space="preserve"> למ"ר ו</w:t>
      </w:r>
      <w:r>
        <w:rPr>
          <w:rFonts w:hint="cs"/>
          <w:rtl/>
        </w:rPr>
        <w:t>היא שולית יחסית אל מול התועלות שמתלוות</w:t>
      </w:r>
      <w:r w:rsidR="0024618F">
        <w:rPr>
          <w:rFonts w:hint="cs"/>
          <w:rtl/>
        </w:rPr>
        <w:t xml:space="preserve"> ל</w:t>
      </w:r>
      <w:r w:rsidRPr="00E7636D" w:rsidR="0024618F">
        <w:rPr>
          <w:rFonts w:hint="cs"/>
          <w:rtl/>
        </w:rPr>
        <w:t xml:space="preserve">הגדלת </w:t>
      </w:r>
      <w:r w:rsidR="0024618F">
        <w:rPr>
          <w:rFonts w:hint="cs"/>
          <w:rtl/>
        </w:rPr>
        <w:t>השטח</w:t>
      </w:r>
      <w:r w:rsidRPr="00E7636D" w:rsidR="0024618F">
        <w:rPr>
          <w:rFonts w:hint="cs"/>
          <w:rtl/>
        </w:rPr>
        <w:t xml:space="preserve">, </w:t>
      </w:r>
      <w:r w:rsidR="0024618F">
        <w:rPr>
          <w:rFonts w:hint="cs"/>
          <w:rtl/>
        </w:rPr>
        <w:t>איכות</w:t>
      </w:r>
      <w:r w:rsidRPr="00E7636D" w:rsidR="0024618F">
        <w:rPr>
          <w:rFonts w:hint="cs"/>
          <w:rtl/>
        </w:rPr>
        <w:t xml:space="preserve"> החיים, תחושת הביטחון, הביטחון בפועל והבריאות הנפשית.</w:t>
      </w:r>
    </w:p>
    <w:p w:rsidRPr="00E7636D" w:rsidR="0024618F" w:rsidP="0024618F" w:rsidRDefault="0024618F" w14:paraId="1EF0B1B9" w14:textId="77777777">
      <w:pPr>
        <w:pStyle w:val="Hesber"/>
        <w:rPr>
          <w:rtl/>
        </w:rPr>
      </w:pPr>
    </w:p>
    <w:p w:rsidRPr="0024618F" w:rsidR="00E13C27" w:rsidP="0024618F" w:rsidRDefault="00E13C27" w14:paraId="7F6961CB" w14:textId="77777777">
      <w:pPr>
        <w:rPr>
          <w:rtl/>
        </w:rPr>
      </w:pPr>
    </w:p>
    <w:p w:rsidR="007C4D4E" w:rsidRDefault="00F6640A" w14:paraId="78F68797" w14:textId="77777777">
      <w:pPr>
        <w:spacing w:line="276" w:lineRule="auto"/>
        <w:jc w:val="left"/>
      </w:pPr>
      <w:bookmarkStart w:name="selectedDocDateB" w:id="9"/>
      <w:bookmarkEnd w:id="9"/>
      <w:r>
        <w:rPr>
          <w:rFonts w:hint="cs" w:eastAsia="David"/>
          <w:sz w:val="26"/>
          <w:szCs w:val="26"/>
          <w:rtl/>
        </w:rPr>
        <w:t>--------------------------------</w:t>
      </w:r>
    </w:p>
    <w:p w:rsidR="007C4D4E" w:rsidRDefault="00F6640A" w14:paraId="24BCA71D" w14:textId="77777777">
      <w:pPr>
        <w:jc w:val="left"/>
      </w:pPr>
      <w:r>
        <w:rPr>
          <w:rFonts w:hint="cs" w:eastAsia="David"/>
          <w:sz w:val="26"/>
          <w:szCs w:val="26"/>
          <w:rtl/>
        </w:rPr>
        <w:t>הוגשה ליו"ר הכנסת והסגנים</w:t>
      </w:r>
    </w:p>
    <w:p w:rsidR="007C4D4E" w:rsidRDefault="00F6640A" w14:paraId="7463D5BB" w14:textId="77777777">
      <w:pPr>
        <w:jc w:val="left"/>
      </w:pPr>
      <w:r>
        <w:rPr>
          <w:rFonts w:hint="cs" w:eastAsia="David"/>
          <w:sz w:val="26"/>
          <w:szCs w:val="26"/>
          <w:rtl/>
        </w:rPr>
        <w:t>והונחה על שולחן הכנסת ביום</w:t>
      </w:r>
    </w:p>
    <w:p w:rsidR="007C4D4E" w:rsidRDefault="00F6640A" w14:paraId="350B4ABD" w14:textId="77777777">
      <w:pPr>
        <w:jc w:val="left"/>
      </w:pPr>
      <w:r>
        <w:rPr>
          <w:rFonts w:hint="cs" w:eastAsia="David"/>
          <w:sz w:val="26"/>
          <w:szCs w:val="26"/>
          <w:rtl/>
        </w:rPr>
        <w:t xml:space="preserve">כ"ו בתשרי התשפ"ה (28.10.2024) </w:t>
      </w:r>
    </w:p>
    <w:p w:rsidR="007C4D4E" w:rsidRDefault="007C4D4E" w14:paraId="0D3F0C68" w14:textId="77777777"/>
    <w:sectPr w:rsidR="007C4D4E" w:rsidSect="00F65091">
      <w:footerReference w:type="even" r:id="rId11"/>
      <w:footerReference w:type="default" r:id="rId12"/>
      <w:pgSz w:w="11907" w:h="16840" w:code="9"/>
      <w:pgMar w:top="1701" w:right="1134" w:bottom="1417" w:left="1134" w:header="680" w:footer="680" w:gutter="0"/>
      <w:cols w:space="720"/>
      <w:noEndnote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6B4C1" w14:textId="77777777" w:rsidR="00D142D3" w:rsidRDefault="00D142D3">
      <w:r>
        <w:separator/>
      </w:r>
    </w:p>
  </w:endnote>
  <w:endnote w:type="continuationSeparator" w:id="0">
    <w:p w14:paraId="0E546755" w14:textId="77777777" w:rsidR="00D142D3" w:rsidRDefault="00D142D3">
      <w:r>
        <w:continuationSeparator/>
      </w:r>
    </w:p>
  </w:endnote>
  <w:endnote w:type="continuationNotice" w:id="1">
    <w:p w14:paraId="24369900" w14:textId="77777777" w:rsidR="00D142D3" w:rsidRDefault="00D142D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961D7" w14:textId="535D312A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1783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674C0" w14:textId="77777777" w:rsidR="00D142D3" w:rsidRDefault="00D142D3" w:rsidP="00F65091">
      <w:pPr>
        <w:ind w:left="0"/>
      </w:pPr>
      <w:r>
        <w:separator/>
      </w:r>
    </w:p>
  </w:footnote>
  <w:footnote w:type="continuationSeparator" w:id="0">
    <w:p w14:paraId="401CF485" w14:textId="77777777" w:rsidR="00D142D3" w:rsidRDefault="00D142D3">
      <w:r>
        <w:continuationSeparator/>
      </w:r>
    </w:p>
  </w:footnote>
  <w:footnote w:type="continuationNotice" w:id="1">
    <w:p w14:paraId="173A6451" w14:textId="77777777" w:rsidR="00D142D3" w:rsidRDefault="00D142D3"/>
  </w:footnote>
  <w:footnote w:id="2">
    <w:p w14:paraId="45539D31" w14:textId="77777777" w:rsidR="0024618F" w:rsidRDefault="0024618F" w:rsidP="0024618F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התשכ"ה, עמ' 307.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49435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8A2EB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E00D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D24B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1685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CA2E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EA33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8CFF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38A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B85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3B28B0"/>
    <w:multiLevelType w:val="hybridMultilevel"/>
    <w:tmpl w:val="41ACEA96"/>
    <w:lvl w:ilvl="0" w:tplc="06A8C010">
      <w:start w:val="1"/>
      <w:numFmt w:val="decimal"/>
      <w:pStyle w:val="TOC3"/>
      <w:lvlText w:val="%1."/>
      <w:lvlJc w:val="left"/>
      <w:pPr>
        <w:ind w:left="1287" w:hanging="360"/>
      </w:pPr>
      <w:rPr>
        <w:rFonts w:cs="David" w:hint="default"/>
        <w:bCs w:val="0"/>
        <w:iCs w:val="0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5"/>
  </w:num>
  <w:num w:numId="13">
    <w:abstractNumId w:val="11"/>
  </w:num>
  <w:num w:numId="14">
    <w:abstractNumId w:val="16"/>
  </w:num>
  <w:num w:numId="15">
    <w:abstractNumId w:val="13"/>
  </w:num>
  <w:num w:numId="16">
    <w:abstractNumId w:val="13"/>
    <w:lvlOverride w:ilvl="0">
      <w:startOverride w:val="1"/>
    </w:lvlOverride>
  </w:num>
  <w:num w:numId="17">
    <w:abstractNumId w:val="10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3712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3A45"/>
    <w:rsid w:val="0024618F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17833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97D51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944E0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10ED"/>
    <w:rsid w:val="00763CAA"/>
    <w:rsid w:val="00765F66"/>
    <w:rsid w:val="0078664F"/>
    <w:rsid w:val="007A27CE"/>
    <w:rsid w:val="007C3FA6"/>
    <w:rsid w:val="007C4D4E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45B9B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15089"/>
    <w:rsid w:val="00A26BD6"/>
    <w:rsid w:val="00A443CF"/>
    <w:rsid w:val="00A6611D"/>
    <w:rsid w:val="00A82CB7"/>
    <w:rsid w:val="00A93665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42D3"/>
    <w:rsid w:val="00D17774"/>
    <w:rsid w:val="00D375B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5A2"/>
    <w:rsid w:val="00E63D38"/>
    <w:rsid w:val="00E665B9"/>
    <w:rsid w:val="00EA01E6"/>
    <w:rsid w:val="00EA3DE8"/>
    <w:rsid w:val="00EA758F"/>
    <w:rsid w:val="00ED4A6F"/>
    <w:rsid w:val="00EF3A3A"/>
    <w:rsid w:val="00F60D8B"/>
    <w:rsid w:val="00F628D6"/>
    <w:rsid w:val="00F65091"/>
    <w:rsid w:val="00F6640A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B1353C6F-A4D4-4B92-B6C0-C854E5854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 w:qFormat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91"/>
    <w:pPr>
      <w:widowControl w:val="0"/>
      <w:bidi/>
      <w:spacing w:line="360" w:lineRule="auto"/>
      <w:ind w:left="340"/>
      <w:contextualSpacing/>
      <w:jc w:val="both"/>
    </w:pPr>
    <w:rPr>
      <w:rFonts w:ascii="David" w:eastAsiaTheme="minorHAnsi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5091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F65091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F65091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F65091"/>
    <w:pPr>
      <w:numPr>
        <w:numId w:val="18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5091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65091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F65091"/>
    <w:rPr>
      <w:sz w:val="36"/>
      <w:szCs w:val="52"/>
    </w:rPr>
  </w:style>
  <w:style w:type="paragraph" w:customStyle="1" w:styleId="Cover3-Haknesset">
    <w:name w:val="Cover 3-Haknesset"/>
    <w:basedOn w:val="Cover1-Reshumot"/>
    <w:rsid w:val="00F65091"/>
    <w:rPr>
      <w:b/>
      <w:bCs/>
      <w:spacing w:val="60"/>
    </w:rPr>
  </w:style>
  <w:style w:type="paragraph" w:customStyle="1" w:styleId="Cover4-Date">
    <w:name w:val="Cover 4-Date"/>
    <w:basedOn w:val="a"/>
    <w:rsid w:val="00F6509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65091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F65091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4Futer">
    <w:name w:val="Head HatzaotHok4Futer"/>
    <w:basedOn w:val="HeadHatzaotHok"/>
    <w:rsid w:val="00F65091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65091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65091"/>
    <w:pPr>
      <w:keepLines/>
      <w:tabs>
        <w:tab w:val="left" w:pos="624"/>
        <w:tab w:val="left" w:pos="1247"/>
      </w:tabs>
      <w:snapToGrid w:val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F65091"/>
    <w:pPr>
      <w:outlineLvl w:val="2"/>
    </w:pPr>
  </w:style>
  <w:style w:type="paragraph" w:customStyle="1" w:styleId="TableBlock">
    <w:name w:val="Table Block"/>
    <w:basedOn w:val="TableText"/>
    <w:rsid w:val="00F65091"/>
    <w:pPr>
      <w:jc w:val="both"/>
    </w:pPr>
  </w:style>
  <w:style w:type="paragraph" w:customStyle="1" w:styleId="TableHead">
    <w:name w:val="Table Head"/>
    <w:basedOn w:val="TableText"/>
    <w:rsid w:val="00F65091"/>
    <w:pPr>
      <w:jc w:val="center"/>
      <w:outlineLvl w:val="1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65091"/>
    <w:pPr>
      <w:outlineLvl w:val="9"/>
    </w:pPr>
  </w:style>
  <w:style w:type="paragraph" w:customStyle="1" w:styleId="Hesber">
    <w:name w:val="Hesber"/>
    <w:basedOn w:val="a"/>
    <w:rsid w:val="00F65091"/>
    <w:pPr>
      <w:snapToGrid w:val="0"/>
      <w:ind w:left="0" w:firstLine="340"/>
    </w:pPr>
    <w:rPr>
      <w:rFonts w:ascii="Arial" w:eastAsia="Arial Unicode MS" w:hAnsi="Arial"/>
      <w:snapToGrid w:val="0"/>
      <w:sz w:val="20"/>
      <w:szCs w:val="26"/>
    </w:rPr>
  </w:style>
  <w:style w:type="paragraph" w:styleId="a4">
    <w:name w:val="footnote text"/>
    <w:basedOn w:val="a"/>
    <w:autoRedefine/>
    <w:semiHidden/>
    <w:rsid w:val="00F65091"/>
    <w:pPr>
      <w:snapToGrid w:val="0"/>
      <w:spacing w:line="240" w:lineRule="auto"/>
      <w:ind w:left="0"/>
      <w:jc w:val="left"/>
    </w:pPr>
    <w:rPr>
      <w:rFonts w:ascii="Arial" w:eastAsia="Arial Unicode MS" w:hAnsi="Arial"/>
      <w:snapToGrid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65091"/>
    <w:rPr>
      <w:vertAlign w:val="superscript"/>
    </w:rPr>
  </w:style>
  <w:style w:type="paragraph" w:customStyle="1" w:styleId="HesberHeading">
    <w:name w:val="Hesber Heading"/>
    <w:basedOn w:val="Hesber"/>
    <w:rsid w:val="00F65091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F65091"/>
    <w:pPr>
      <w:spacing w:before="120" w:after="12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F65091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65091"/>
    <w:rPr>
      <w:vertAlign w:val="superscript"/>
    </w:rPr>
  </w:style>
  <w:style w:type="paragraph" w:customStyle="1" w:styleId="TableBlockOutdent">
    <w:name w:val="Table BlockOutdent"/>
    <w:basedOn w:val="TableBlock"/>
    <w:rsid w:val="00F65091"/>
    <w:pPr>
      <w:ind w:left="624" w:hanging="624"/>
    </w:pPr>
  </w:style>
  <w:style w:type="paragraph" w:styleId="a7">
    <w:name w:val="header"/>
    <w:basedOn w:val="a"/>
    <w:rsid w:val="00F65091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65091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65091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65091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b/>
      <w:bCs/>
      <w:sz w:val="28"/>
      <w:szCs w:val="28"/>
      <w:u w:val="single"/>
    </w:rPr>
  </w:style>
  <w:style w:type="character" w:styleId="aa">
    <w:name w:val="page number"/>
    <w:basedOn w:val="a0"/>
    <w:rsid w:val="00F65091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jc w:val="left"/>
    </w:pPr>
    <w:rPr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uiPriority w:val="9"/>
    <w:rsid w:val="00F65091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F65091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F65091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40">
    <w:name w:val="כותרת 4 תו"/>
    <w:basedOn w:val="a0"/>
    <w:link w:val="4"/>
    <w:uiPriority w:val="9"/>
    <w:rsid w:val="00F65091"/>
    <w:rPr>
      <w:rFonts w:ascii="David" w:eastAsiaTheme="minorHAnsi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F65091"/>
    <w:rPr>
      <w:rFonts w:ascii="David" w:eastAsiaTheme="minorHAnsi" w:hAnsi="David" w:cs="David"/>
      <w:color w:val="000000" w:themeColor="text1"/>
      <w:sz w:val="24"/>
      <w:szCs w:val="24"/>
    </w:rPr>
  </w:style>
  <w:style w:type="paragraph" w:styleId="ad">
    <w:name w:val="TOC Heading"/>
    <w:basedOn w:val="1"/>
    <w:next w:val="a"/>
    <w:uiPriority w:val="39"/>
    <w:unhideWhenUsed/>
    <w:qFormat/>
    <w:rsid w:val="00F65091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F65091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F65091"/>
    <w:pPr>
      <w:tabs>
        <w:tab w:val="right" w:leader="dot" w:pos="9628"/>
      </w:tabs>
      <w:spacing w:after="100"/>
    </w:pPr>
    <w:rPr>
      <w:szCs w:val="22"/>
    </w:rPr>
  </w:style>
  <w:style w:type="character" w:styleId="Hyperlink">
    <w:name w:val="Hyperlink"/>
    <w:basedOn w:val="a0"/>
    <w:uiPriority w:val="99"/>
    <w:unhideWhenUsed/>
    <w:rsid w:val="00F65091"/>
    <w:rPr>
      <w:color w:val="0000FF" w:themeColor="hyperlink"/>
      <w:u w:val="single"/>
    </w:rPr>
  </w:style>
  <w:style w:type="paragraph" w:styleId="TOC3">
    <w:name w:val="toc 3"/>
    <w:basedOn w:val="a"/>
    <w:next w:val="a"/>
    <w:uiPriority w:val="39"/>
    <w:unhideWhenUsed/>
    <w:rsid w:val="00F65091"/>
    <w:pPr>
      <w:numPr>
        <w:numId w:val="21"/>
      </w:numPr>
      <w:tabs>
        <w:tab w:val="right" w:leader="dot" w:pos="9629"/>
      </w:tabs>
      <w:spacing w:after="100"/>
      <w:ind w:left="811" w:hanging="35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F65091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F65091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F65091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F65091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F65091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F65091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F65091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F65091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F65091"/>
    <w:rPr>
      <w:rFonts w:eastAsia="Times New Roman"/>
    </w:rPr>
  </w:style>
  <w:style w:type="paragraph" w:styleId="ae">
    <w:name w:val="List Paragraph"/>
    <w:basedOn w:val="a"/>
    <w:uiPriority w:val="34"/>
    <w:qFormat/>
    <w:rsid w:val="00F65091"/>
    <w:pPr>
      <w:widowControl/>
      <w:spacing w:line="259" w:lineRule="auto"/>
    </w:pPr>
    <w:rPr>
      <w:rFonts w:asciiTheme="minorHAnsi" w:hAnsiTheme="minorHAnsi"/>
      <w:sz w:val="22"/>
    </w:rPr>
  </w:style>
  <w:style w:type="table" w:styleId="af">
    <w:name w:val="Table Grid"/>
    <w:basedOn w:val="a1"/>
    <w:rsid w:val="00F65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F6509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F6509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0">
    <w:name w:val="טבלת חקיקה"/>
    <w:basedOn w:val="a1"/>
    <w:uiPriority w:val="99"/>
    <w:rsid w:val="00F65091"/>
    <w:pPr>
      <w:jc w:val="center"/>
    </w:pPr>
    <w:rPr>
      <w:rFonts w:cstheme="minorBidi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F65091"/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54E21C28B32ECF49ADBB6A5BBBCCB3CD" ma:contentTypeVersion="" ma:contentTypeDescription="צור מסמך חדש." ma:contentTypeScope="" ma:versionID="f81d89568b860eeaa06327f0f2d2f14b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a6db6e33f8462d87724f237088727803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BFFE7-1D1D-4948-B5A8-6559EE7E2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0d5b49-c690-4c6f-bbb9-1e50dab33e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90d5b49-c690-4c6f-bbb9-1e50dab33ee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0910855-6635-483D-9A28-8764CE82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2</Pages>
  <Words>483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מצדה מצלאוי דוד</cp:lastModifiedBy>
  <cp:revision>12</cp:revision>
  <cp:lastPrinted>2013-07-04T08:25:00Z</cp:lastPrinted>
  <dcterms:created xsi:type="dcterms:W3CDTF">2015-04-20T09:58:00Z</dcterms:created>
  <dcterms:modified xsi:type="dcterms:W3CDTF">2024-10-14T10:35:00Z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0x01010054E21C28B32ECF49ADBB6A5BBBCCB3CD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2222182</vt:r8>
  </property>
</Properties>
</file>