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650" w:rsidRDefault="006D2BFA" w:rsidP="007B43DE">
      <w:pPr>
        <w:rPr>
          <w:rtl/>
        </w:rPr>
      </w:pPr>
      <w:r w:rsidRPr="007B43DE">
        <w:rPr>
          <w:rFonts w:hint="cs"/>
          <w:rtl/>
        </w:rPr>
        <w:t>דיני ערבה</w:t>
      </w:r>
    </w:p>
    <w:p w:rsidR="00703650" w:rsidRDefault="006D2BFA" w:rsidP="007B43DE">
      <w:pPr>
        <w:rPr>
          <w:rtl/>
        </w:rPr>
      </w:pPr>
      <w:r w:rsidRPr="007B43DE">
        <w:rPr>
          <w:rFonts w:hint="cs"/>
          <w:rtl/>
        </w:rPr>
        <w:t>א. נאמר בתורה (ויקרא כ"ג, מ') "ולקחתם לכם... וערבי נחל". ונתנו חכמינו בגמ' (סוכה לד.) ג' סימנים לערבה: א.</w:t>
      </w:r>
      <w:r w:rsidR="00483F6F" w:rsidRPr="007B43DE">
        <w:rPr>
          <w:rFonts w:hint="eastAsia"/>
          <w:rtl/>
        </w:rPr>
        <w:t> </w:t>
      </w:r>
      <w:r w:rsidRPr="007B43DE">
        <w:rPr>
          <w:rFonts w:hint="cs"/>
          <w:rtl/>
        </w:rPr>
        <w:t>קנה שלה אדום. ב.</w:t>
      </w:r>
      <w:r w:rsidR="00483F6F" w:rsidRPr="007B43DE">
        <w:rPr>
          <w:rFonts w:hint="eastAsia"/>
          <w:rtl/>
        </w:rPr>
        <w:t> </w:t>
      </w:r>
      <w:r w:rsidRPr="007B43DE">
        <w:rPr>
          <w:rFonts w:hint="cs"/>
          <w:rtl/>
        </w:rPr>
        <w:t>עלה שלה משוך כנחל, דהיינו ארוך וצר. ג.</w:t>
      </w:r>
      <w:r w:rsidR="00483F6F" w:rsidRPr="007B43DE">
        <w:rPr>
          <w:rFonts w:hint="eastAsia"/>
          <w:rtl/>
        </w:rPr>
        <w:t> </w:t>
      </w:r>
      <w:r w:rsidR="00846784" w:rsidRPr="007B43DE">
        <w:rPr>
          <w:rFonts w:hint="cs"/>
          <w:rtl/>
        </w:rPr>
        <w:t>פיה חלק,</w:t>
      </w:r>
      <w:r w:rsidR="00974EA8" w:rsidRPr="007B43DE">
        <w:rPr>
          <w:rFonts w:hint="cs"/>
          <w:rtl/>
        </w:rPr>
        <w:t xml:space="preserve"> דהיינו ששפת העלים יהיו</w:t>
      </w:r>
      <w:r w:rsidRPr="007B43DE">
        <w:rPr>
          <w:rFonts w:hint="cs"/>
          <w:rtl/>
        </w:rPr>
        <w:t xml:space="preserve"> חלקים </w:t>
      </w:r>
      <w:r w:rsidR="00974EA8" w:rsidRPr="007B43DE">
        <w:rPr>
          <w:rFonts w:hint="cs"/>
          <w:rtl/>
        </w:rPr>
        <w:t>ש</w:t>
      </w:r>
      <w:r w:rsidRPr="007B43DE">
        <w:rPr>
          <w:rFonts w:hint="cs"/>
          <w:rtl/>
        </w:rPr>
        <w:t>אין בהם פגימות</w:t>
      </w:r>
      <w:r w:rsidRPr="007B43DE">
        <w:rPr>
          <w:rtl/>
        </w:rPr>
        <w:footnoteReference w:id="1"/>
      </w:r>
      <w:r w:rsidRPr="007B43DE">
        <w:rPr>
          <w:rFonts w:hint="cs"/>
          <w:rtl/>
        </w:rPr>
        <w:t>.</w:t>
      </w:r>
    </w:p>
    <w:p w:rsidR="00B56C95" w:rsidRPr="007B43DE" w:rsidRDefault="00B56C95" w:rsidP="007B43DE">
      <w:pPr>
        <w:rPr>
          <w:rtl/>
        </w:rPr>
      </w:pPr>
      <w:r w:rsidRPr="007B43DE">
        <w:rPr>
          <w:rFonts w:hint="cs"/>
          <w:rtl/>
        </w:rPr>
        <w:t xml:space="preserve">ב. ערבה שהקנה שלה ירוק כשרה, </w:t>
      </w:r>
      <w:r w:rsidR="00C97D5B" w:rsidRPr="007B43DE">
        <w:rPr>
          <w:rFonts w:hint="cs"/>
          <w:rtl/>
        </w:rPr>
        <w:t>ויכול ליטלה אפי' לכתחילה</w:t>
      </w:r>
      <w:r w:rsidRPr="007B43DE">
        <w:rPr>
          <w:rtl/>
        </w:rPr>
        <w:footnoteReference w:id="2"/>
      </w:r>
      <w:r w:rsidRPr="007B43DE">
        <w:rPr>
          <w:rFonts w:hint="cs"/>
          <w:rtl/>
        </w:rPr>
        <w:t>.</w:t>
      </w:r>
    </w:p>
    <w:p w:rsidR="00703650" w:rsidRDefault="0032380E" w:rsidP="007B43DE">
      <w:pPr>
        <w:rPr>
          <w:rtl/>
        </w:rPr>
      </w:pPr>
      <w:r w:rsidRPr="007B43DE">
        <w:rPr>
          <w:rFonts w:hint="cs"/>
          <w:rtl/>
        </w:rPr>
        <w:lastRenderedPageBreak/>
        <w:t xml:space="preserve">ג. </w:t>
      </w:r>
      <w:r w:rsidR="0010556B" w:rsidRPr="007B43DE">
        <w:rPr>
          <w:rFonts w:hint="cs"/>
          <w:rtl/>
        </w:rPr>
        <w:t xml:space="preserve">ערבה שאינה גדילה על הנחל כשרה לכתחילה, שאף שבתורה נאמר </w:t>
      </w:r>
      <w:r w:rsidR="00411967" w:rsidRPr="007B43DE">
        <w:rPr>
          <w:rFonts w:hint="cs"/>
          <w:rtl/>
        </w:rPr>
        <w:t>"</w:t>
      </w:r>
      <w:r w:rsidR="0010556B" w:rsidRPr="007B43DE">
        <w:rPr>
          <w:rFonts w:hint="cs"/>
          <w:rtl/>
        </w:rPr>
        <w:t>ערבי נחל</w:t>
      </w:r>
      <w:r w:rsidR="00411967" w:rsidRPr="007B43DE">
        <w:rPr>
          <w:rFonts w:hint="cs"/>
          <w:rtl/>
        </w:rPr>
        <w:t>"</w:t>
      </w:r>
      <w:r w:rsidR="0010556B" w:rsidRPr="007B43DE">
        <w:rPr>
          <w:rFonts w:hint="cs"/>
          <w:rtl/>
        </w:rPr>
        <w:t>, הכוונה בזה הוא שרוב הערבות גדלות בנחל</w:t>
      </w:r>
      <w:r w:rsidR="00E8776E" w:rsidRPr="007B43DE">
        <w:rPr>
          <w:rFonts w:hint="cs"/>
          <w:rtl/>
        </w:rPr>
        <w:t>, ולא שצריך דווקא הגדילה בנחל</w:t>
      </w:r>
      <w:r w:rsidR="0010556B" w:rsidRPr="007B43DE">
        <w:rPr>
          <w:rFonts w:hint="cs"/>
          <w:rtl/>
        </w:rPr>
        <w:t>. אמנם טוב ליזהר היכא שאפשר ליטול ערבה שגד</w:t>
      </w:r>
      <w:r w:rsidR="00ED1D31" w:rsidRPr="007B43DE">
        <w:rPr>
          <w:rFonts w:hint="cs"/>
          <w:rtl/>
        </w:rPr>
        <w:t>י</w:t>
      </w:r>
      <w:r w:rsidR="0010556B" w:rsidRPr="007B43DE">
        <w:rPr>
          <w:rFonts w:hint="cs"/>
          <w:rtl/>
        </w:rPr>
        <w:t>לה בנחל לצאת יד"ח כל הפוסקים</w:t>
      </w:r>
      <w:r w:rsidR="0010556B" w:rsidRPr="007B43DE">
        <w:rPr>
          <w:rtl/>
        </w:rPr>
        <w:footnoteReference w:id="3"/>
      </w:r>
      <w:r w:rsidR="0010556B" w:rsidRPr="007B43DE">
        <w:rPr>
          <w:rFonts w:hint="cs"/>
          <w:rtl/>
        </w:rPr>
        <w:t>.</w:t>
      </w:r>
    </w:p>
    <w:p w:rsidR="00736F4B" w:rsidRPr="007B43DE" w:rsidRDefault="00736F4B" w:rsidP="007B43DE">
      <w:pPr>
        <w:rPr>
          <w:rtl/>
        </w:rPr>
      </w:pPr>
      <w:r w:rsidRPr="007B43DE">
        <w:rPr>
          <w:rFonts w:hint="cs"/>
          <w:rtl/>
        </w:rPr>
        <w:lastRenderedPageBreak/>
        <w:t>ד. ערבה שיש בה תלמים קטנים כמו פי מגל קטן,</w:t>
      </w:r>
      <w:r w:rsidR="00087DED" w:rsidRPr="007B43DE">
        <w:rPr>
          <w:rFonts w:hint="cs"/>
          <w:rtl/>
        </w:rPr>
        <w:t xml:space="preserve"> דהיינו שיש ל</w:t>
      </w:r>
      <w:r w:rsidR="00236328" w:rsidRPr="007B43DE">
        <w:rPr>
          <w:rFonts w:hint="cs"/>
          <w:rtl/>
        </w:rPr>
        <w:t>ה</w:t>
      </w:r>
      <w:r w:rsidR="00087DED" w:rsidRPr="007B43DE">
        <w:rPr>
          <w:rFonts w:hint="cs"/>
          <w:rtl/>
        </w:rPr>
        <w:t xml:space="preserve"> פגימות קטנות,</w:t>
      </w:r>
      <w:r w:rsidRPr="007B43DE">
        <w:rPr>
          <w:rFonts w:hint="cs"/>
          <w:rtl/>
        </w:rPr>
        <w:t xml:space="preserve"> כשרה למצוה</w:t>
      </w:r>
      <w:r w:rsidRPr="007B43DE">
        <w:rPr>
          <w:rtl/>
        </w:rPr>
        <w:footnoteReference w:id="4"/>
      </w:r>
      <w:r w:rsidRPr="007B43DE">
        <w:rPr>
          <w:rFonts w:hint="cs"/>
          <w:rtl/>
        </w:rPr>
        <w:t>.</w:t>
      </w:r>
    </w:p>
    <w:p w:rsidR="00D433F3" w:rsidRPr="007B43DE" w:rsidRDefault="00D433F3" w:rsidP="007B43DE">
      <w:pPr>
        <w:rPr>
          <w:rtl/>
        </w:rPr>
      </w:pPr>
      <w:r w:rsidRPr="007B43DE">
        <w:rPr>
          <w:rFonts w:hint="cs"/>
          <w:rtl/>
        </w:rPr>
        <w:t xml:space="preserve"> </w:t>
      </w:r>
    </w:p>
    <w:p w:rsidR="00703650" w:rsidRDefault="006C0FC0" w:rsidP="007B43DE">
      <w:pPr>
        <w:rPr>
          <w:rtl/>
        </w:rPr>
      </w:pPr>
      <w:r w:rsidRPr="007B43DE">
        <w:rPr>
          <w:rFonts w:hint="cs"/>
          <w:rtl/>
        </w:rPr>
        <w:t>ה.</w:t>
      </w:r>
      <w:r w:rsidR="001D1A49" w:rsidRPr="007B43DE">
        <w:rPr>
          <w:rFonts w:hint="cs"/>
          <w:rtl/>
        </w:rPr>
        <w:t xml:space="preserve"> עץ הצפצפה פסול למצות ערבה. וסימניו הוא: א. קנה שלו אינו אדום אלא לבן. ב. עלה שלו עגול. ג. פיו דומה למסר. וכן עץ שיטה פסול למצות ערבה אף שענפיו </w:t>
      </w:r>
      <w:r w:rsidR="00ED590D" w:rsidRPr="007B43DE">
        <w:rPr>
          <w:rFonts w:hint="cs"/>
          <w:rtl/>
        </w:rPr>
        <w:t xml:space="preserve">ועליו </w:t>
      </w:r>
      <w:r w:rsidR="001D1A49" w:rsidRPr="007B43DE">
        <w:rPr>
          <w:rFonts w:hint="cs"/>
          <w:rtl/>
        </w:rPr>
        <w:t>דומין לערבה</w:t>
      </w:r>
      <w:r w:rsidR="00434B64" w:rsidRPr="007B43DE">
        <w:rPr>
          <w:rtl/>
        </w:rPr>
        <w:footnoteReference w:id="5"/>
      </w:r>
      <w:r w:rsidR="001D1A49" w:rsidRPr="007B43DE">
        <w:rPr>
          <w:rFonts w:hint="cs"/>
          <w:rtl/>
        </w:rPr>
        <w:t>.</w:t>
      </w:r>
    </w:p>
    <w:p w:rsidR="00703650" w:rsidRDefault="00111EF5" w:rsidP="007B43DE">
      <w:pPr>
        <w:rPr>
          <w:rtl/>
        </w:rPr>
      </w:pPr>
      <w:r w:rsidRPr="007B43DE">
        <w:rPr>
          <w:rFonts w:hint="cs"/>
          <w:rtl/>
        </w:rPr>
        <w:lastRenderedPageBreak/>
        <w:t>ו. עץ האקליפטוס פסול למצות ערבה</w:t>
      </w:r>
      <w:r w:rsidRPr="007B43DE">
        <w:rPr>
          <w:rtl/>
        </w:rPr>
        <w:footnoteReference w:id="6"/>
      </w:r>
      <w:r w:rsidRPr="007B43DE">
        <w:rPr>
          <w:rFonts w:hint="cs"/>
          <w:rtl/>
        </w:rPr>
        <w:t>.</w:t>
      </w:r>
    </w:p>
    <w:p w:rsidR="00703650" w:rsidRDefault="000909F7" w:rsidP="007B43DE">
      <w:pPr>
        <w:rPr>
          <w:rtl/>
        </w:rPr>
      </w:pPr>
      <w:r w:rsidRPr="007B43DE">
        <w:rPr>
          <w:rFonts w:hint="cs"/>
          <w:rtl/>
        </w:rPr>
        <w:lastRenderedPageBreak/>
        <w:t>שיעור הערבה</w:t>
      </w:r>
    </w:p>
    <w:p w:rsidR="00703650" w:rsidRDefault="004B5000" w:rsidP="007B43DE">
      <w:pPr>
        <w:rPr>
          <w:rtl/>
        </w:rPr>
      </w:pPr>
      <w:r w:rsidRPr="007B43DE">
        <w:rPr>
          <w:rFonts w:hint="cs"/>
          <w:rtl/>
        </w:rPr>
        <w:t xml:space="preserve">ז. שיעור אורך הערבה לכתחילה הוא 24 ס"מ. ויוצא ידי חובה ג"כ בשיעור של 20 ס"מ. ויש </w:t>
      </w:r>
      <w:r w:rsidR="009516AB" w:rsidRPr="007B43DE">
        <w:rPr>
          <w:rFonts w:hint="cs"/>
          <w:rtl/>
        </w:rPr>
        <w:t>ש</w:t>
      </w:r>
      <w:r w:rsidRPr="007B43DE">
        <w:rPr>
          <w:rFonts w:hint="cs"/>
          <w:rtl/>
        </w:rPr>
        <w:t>הצריכו 30 ס"מ</w:t>
      </w:r>
      <w:r w:rsidR="009516AB" w:rsidRPr="007B43DE">
        <w:rPr>
          <w:rFonts w:hint="cs"/>
          <w:rtl/>
        </w:rPr>
        <w:t xml:space="preserve"> (לכתחילה)</w:t>
      </w:r>
      <w:r w:rsidRPr="007B43DE">
        <w:rPr>
          <w:rFonts w:hint="cs"/>
          <w:rtl/>
        </w:rPr>
        <w:t>, והמחמיר תע"ב</w:t>
      </w:r>
      <w:r w:rsidR="00F153EC" w:rsidRPr="007B43DE">
        <w:rPr>
          <w:rtl/>
        </w:rPr>
        <w:footnoteReference w:id="7"/>
      </w:r>
      <w:r w:rsidRPr="007B43DE">
        <w:rPr>
          <w:rFonts w:hint="cs"/>
          <w:rtl/>
        </w:rPr>
        <w:t>.</w:t>
      </w:r>
    </w:p>
    <w:p w:rsidR="00703650" w:rsidRDefault="00B07C67" w:rsidP="007B43DE">
      <w:pPr>
        <w:rPr>
          <w:rtl/>
        </w:rPr>
      </w:pPr>
      <w:r w:rsidRPr="007B43DE">
        <w:rPr>
          <w:rFonts w:hint="cs"/>
          <w:rtl/>
        </w:rPr>
        <w:t>ח. מדידת שיעור הערבה הוא מגוף ה</w:t>
      </w:r>
      <w:r w:rsidR="002F4CE7" w:rsidRPr="007B43DE">
        <w:rPr>
          <w:rFonts w:hint="cs"/>
          <w:rtl/>
        </w:rPr>
        <w:t>בד</w:t>
      </w:r>
      <w:r w:rsidRPr="007B43DE">
        <w:rPr>
          <w:rFonts w:hint="cs"/>
          <w:rtl/>
        </w:rPr>
        <w:t xml:space="preserve"> עצמו, ולא מהעלים שיוצאים למעלה ולמטה שהם עודפים על ה</w:t>
      </w:r>
      <w:r w:rsidR="002F4CE7" w:rsidRPr="007B43DE">
        <w:rPr>
          <w:rFonts w:hint="cs"/>
          <w:rtl/>
        </w:rPr>
        <w:t>בד</w:t>
      </w:r>
      <w:r w:rsidR="002F4CE7" w:rsidRPr="007B43DE">
        <w:rPr>
          <w:rtl/>
        </w:rPr>
        <w:footnoteReference w:id="8"/>
      </w:r>
      <w:r w:rsidRPr="007B43DE">
        <w:rPr>
          <w:rFonts w:hint="cs"/>
          <w:rtl/>
        </w:rPr>
        <w:t>.</w:t>
      </w:r>
    </w:p>
    <w:p w:rsidR="00703650" w:rsidRDefault="00A45EFA" w:rsidP="007B43DE">
      <w:pPr>
        <w:rPr>
          <w:rtl/>
        </w:rPr>
      </w:pPr>
      <w:r w:rsidRPr="007B43DE">
        <w:rPr>
          <w:rFonts w:hint="cs"/>
          <w:rtl/>
        </w:rPr>
        <w:t>נקטם ראש</w:t>
      </w:r>
      <w:r w:rsidR="00D32097" w:rsidRPr="007B43DE">
        <w:rPr>
          <w:rFonts w:hint="cs"/>
          <w:rtl/>
        </w:rPr>
        <w:t>ה</w:t>
      </w:r>
    </w:p>
    <w:p w:rsidR="00703650" w:rsidRDefault="00A45EFA" w:rsidP="007B43DE">
      <w:pPr>
        <w:rPr>
          <w:rtl/>
        </w:rPr>
      </w:pPr>
      <w:r w:rsidRPr="007B43DE">
        <w:rPr>
          <w:rFonts w:hint="cs"/>
          <w:rtl/>
        </w:rPr>
        <w:t>ט. ערבה שנקטם ראשה פסולה, וראשה פירושה שנק</w:t>
      </w:r>
      <w:r w:rsidR="009C1C6D" w:rsidRPr="007B43DE">
        <w:rPr>
          <w:rFonts w:hint="cs"/>
          <w:rtl/>
        </w:rPr>
        <w:t>טם ראש העץ שלה שהעלים גדלים בו, אבל אם נקטם העלה שבראשה כשרה</w:t>
      </w:r>
      <w:r w:rsidR="009C1C6D" w:rsidRPr="007B43DE">
        <w:rPr>
          <w:rtl/>
        </w:rPr>
        <w:footnoteReference w:id="9"/>
      </w:r>
      <w:r w:rsidR="009C1C6D" w:rsidRPr="007B43DE">
        <w:rPr>
          <w:rFonts w:hint="cs"/>
          <w:rtl/>
        </w:rPr>
        <w:t>.</w:t>
      </w:r>
    </w:p>
    <w:p w:rsidR="009C1C6D" w:rsidRPr="007B43DE" w:rsidRDefault="009C1C6D" w:rsidP="007B43DE">
      <w:pPr>
        <w:rPr>
          <w:rtl/>
        </w:rPr>
      </w:pPr>
      <w:r w:rsidRPr="007B43DE">
        <w:rPr>
          <w:rFonts w:hint="cs"/>
          <w:rtl/>
        </w:rPr>
        <w:lastRenderedPageBreak/>
        <w:t>י. בשאר ימי החג אם נקטם ראשה אפי' ראש העץ עצמו כשרה, ויכול לברך אף לכתחילה, והמחמיר להחליף בדי ערבות תע"ב</w:t>
      </w:r>
      <w:r w:rsidR="005A5BCD" w:rsidRPr="007B43DE">
        <w:rPr>
          <w:rtl/>
        </w:rPr>
        <w:footnoteReference w:id="10"/>
      </w:r>
      <w:r w:rsidRPr="007B43DE">
        <w:rPr>
          <w:rFonts w:hint="cs"/>
          <w:rtl/>
        </w:rPr>
        <w:t>.</w:t>
      </w:r>
    </w:p>
    <w:p w:rsidR="00703650" w:rsidRDefault="009544EA" w:rsidP="007B43DE">
      <w:pPr>
        <w:rPr>
          <w:rtl/>
        </w:rPr>
      </w:pPr>
      <w:r w:rsidRPr="007B43DE">
        <w:rPr>
          <w:rFonts w:hint="cs"/>
          <w:rtl/>
        </w:rPr>
        <w:t>י"א.</w:t>
      </w:r>
      <w:r w:rsidR="000F69A2" w:rsidRPr="007B43DE">
        <w:rPr>
          <w:rFonts w:hint="cs"/>
          <w:rtl/>
        </w:rPr>
        <w:t xml:space="preserve"> אם יוצאים גבעולים קטנים בין עלי הערבה, אין צריך לקוטמם, וכשר אף לכתחילה</w:t>
      </w:r>
      <w:r w:rsidR="00FA5DEA" w:rsidRPr="007B43DE">
        <w:rPr>
          <w:rtl/>
        </w:rPr>
        <w:footnoteReference w:id="11"/>
      </w:r>
      <w:r w:rsidR="000F69A2" w:rsidRPr="007B43DE">
        <w:rPr>
          <w:rFonts w:hint="cs"/>
          <w:rtl/>
        </w:rPr>
        <w:t>.</w:t>
      </w:r>
    </w:p>
    <w:sectPr w:rsidR="00703650" w:rsidSect="00EC5D09">
      <w:footnotePr>
        <w:numFmt w:val="hebrew1"/>
      </w:footnotePr>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7B2" w:rsidRDefault="009577B2" w:rsidP="006D2BFA">
      <w:pPr>
        <w:spacing w:after="0" w:line="240" w:lineRule="auto"/>
      </w:pPr>
      <w:r>
        <w:separator/>
      </w:r>
    </w:p>
  </w:endnote>
  <w:endnote w:type="continuationSeparator" w:id="0">
    <w:p w:rsidR="009577B2" w:rsidRDefault="009577B2" w:rsidP="006D2B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7B2" w:rsidRDefault="009577B2" w:rsidP="006D2BFA">
      <w:pPr>
        <w:spacing w:after="0" w:line="240" w:lineRule="auto"/>
      </w:pPr>
      <w:r>
        <w:separator/>
      </w:r>
    </w:p>
  </w:footnote>
  <w:footnote w:type="continuationSeparator" w:id="0">
    <w:p w:rsidR="009577B2" w:rsidRDefault="009577B2" w:rsidP="006D2BFA">
      <w:pPr>
        <w:spacing w:after="0" w:line="240" w:lineRule="auto"/>
      </w:pPr>
      <w:r>
        <w:continuationSeparator/>
      </w:r>
    </w:p>
  </w:footnote>
  <w:footnote w:id="1">
    <w:p w:rsidR="00703650" w:rsidRDefault="006D2BFA" w:rsidP="007B43DE">
      <w:pPr>
        <w:rPr>
          <w:rtl/>
        </w:rPr>
      </w:pPr>
      <w:r w:rsidRPr="007B43DE">
        <w:footnoteRef/>
      </w:r>
      <w:r w:rsidR="00395338">
        <w:rPr>
          <w:rtl/>
        </w:rPr>
        <w:t xml:space="preserve"> </w:t>
      </w:r>
      <w:r w:rsidRPr="007B43DE">
        <w:rPr>
          <w:rFonts w:hint="cs"/>
          <w:rtl/>
        </w:rPr>
        <w:t xml:space="preserve">בגמ' סוכה (דף לד.) </w:t>
      </w:r>
      <w:r w:rsidR="005F509E" w:rsidRPr="007B43DE">
        <w:rPr>
          <w:rFonts w:hint="cs"/>
          <w:rtl/>
        </w:rPr>
        <w:t>"ת"ר איזהו ערבה ואיזהו צפצפה.</w:t>
      </w:r>
      <w:r w:rsidRPr="007B43DE">
        <w:rPr>
          <w:rFonts w:hint="cs"/>
          <w:rtl/>
        </w:rPr>
        <w:t xml:space="preserve"> ערבה קנה שלה אדום,</w:t>
      </w:r>
      <w:r w:rsidR="005F509E" w:rsidRPr="007B43DE">
        <w:rPr>
          <w:rFonts w:hint="cs"/>
          <w:rtl/>
        </w:rPr>
        <w:t xml:space="preserve"> ועלה שלה משוך, ופיה חלק. צפצפה</w:t>
      </w:r>
      <w:r w:rsidRPr="007B43DE">
        <w:rPr>
          <w:rFonts w:hint="cs"/>
          <w:rtl/>
        </w:rPr>
        <w:t xml:space="preserve"> קנה שלה לבן, ועלה שלה עגול ופיה דומה למגל". וכן פסקו </w:t>
      </w:r>
      <w:r w:rsidR="005F509E" w:rsidRPr="007B43DE">
        <w:rPr>
          <w:rFonts w:hint="cs"/>
          <w:rtl/>
        </w:rPr>
        <w:t xml:space="preserve">הטור והשו"ע (סי' תרמ"ז סעי' א'). והנה מצינו להפרי מגדים (סק"א) שכתב "ומשמע </w:t>
      </w:r>
      <w:r w:rsidR="007D54CA" w:rsidRPr="007B43DE">
        <w:rPr>
          <w:rFonts w:hint="cs"/>
          <w:rtl/>
        </w:rPr>
        <w:t>כל ג' סימנים בעינן וחסר אח</w:t>
      </w:r>
      <w:r w:rsidR="00846784" w:rsidRPr="007B43DE">
        <w:rPr>
          <w:rFonts w:hint="cs"/>
          <w:rtl/>
        </w:rPr>
        <w:t xml:space="preserve">ד פסול". וציינו המשנ"ב (סק"ב), </w:t>
      </w:r>
      <w:r w:rsidR="007D54CA" w:rsidRPr="007B43DE">
        <w:rPr>
          <w:rFonts w:hint="cs"/>
          <w:rtl/>
        </w:rPr>
        <w:t>והוסיף</w:t>
      </w:r>
      <w:r w:rsidR="00846784" w:rsidRPr="007B43DE">
        <w:rPr>
          <w:rFonts w:hint="cs"/>
          <w:rtl/>
        </w:rPr>
        <w:t>,</w:t>
      </w:r>
      <w:r w:rsidR="007D54CA" w:rsidRPr="007B43DE">
        <w:rPr>
          <w:rFonts w:hint="cs"/>
          <w:rtl/>
        </w:rPr>
        <w:t xml:space="preserve"> דהביכורי יעקב כתב דאין מצוי זה בלא זה. </w:t>
      </w:r>
      <w:r w:rsidR="00846784" w:rsidRPr="007B43DE">
        <w:rPr>
          <w:rFonts w:hint="cs"/>
          <w:rtl/>
        </w:rPr>
        <w:t>וכוונתו</w:t>
      </w:r>
      <w:r w:rsidR="007D54CA" w:rsidRPr="007B43DE">
        <w:rPr>
          <w:rFonts w:hint="cs"/>
          <w:rtl/>
        </w:rPr>
        <w:t xml:space="preserve"> </w:t>
      </w:r>
      <w:r w:rsidR="00846784" w:rsidRPr="007B43DE">
        <w:rPr>
          <w:rFonts w:hint="cs"/>
          <w:rtl/>
        </w:rPr>
        <w:t>ד</w:t>
      </w:r>
      <w:r w:rsidR="007D54CA" w:rsidRPr="007B43DE">
        <w:rPr>
          <w:rFonts w:hint="cs"/>
          <w:rtl/>
        </w:rPr>
        <w:t xml:space="preserve">באופן שכבר נטל את הלולב ומסתפק בכשרות הערבה, וכעת אינה לפניו דאינו זקוק לחזר אחריו ולבודקו, אלא אמרינן דיצא. </w:t>
      </w:r>
      <w:r w:rsidR="00AC578C" w:rsidRPr="007B43DE">
        <w:rPr>
          <w:rFonts w:hint="cs"/>
          <w:rtl/>
        </w:rPr>
        <w:t xml:space="preserve">אמנם הרב כה"ח (סק"ד) העיר על דבריו וז"ל </w:t>
      </w:r>
      <w:r w:rsidR="00846784" w:rsidRPr="007B43DE">
        <w:rPr>
          <w:rFonts w:hint="cs"/>
          <w:rtl/>
        </w:rPr>
        <w:t>"</w:t>
      </w:r>
      <w:r w:rsidR="00AC578C" w:rsidRPr="007B43DE">
        <w:rPr>
          <w:rFonts w:hint="cs"/>
          <w:rtl/>
        </w:rPr>
        <w:t>והוא תימה וכי ראה כל האילנות שבעולם, ועוד</w:t>
      </w:r>
      <w:r w:rsidR="00846784" w:rsidRPr="007B43DE">
        <w:rPr>
          <w:rFonts w:hint="cs"/>
          <w:rtl/>
        </w:rPr>
        <w:t>,</w:t>
      </w:r>
      <w:r w:rsidR="00AC578C" w:rsidRPr="007B43DE">
        <w:rPr>
          <w:rFonts w:hint="cs"/>
          <w:rtl/>
        </w:rPr>
        <w:t xml:space="preserve"> אם כן למה </w:t>
      </w:r>
      <w:r w:rsidR="00846784" w:rsidRPr="007B43DE">
        <w:rPr>
          <w:rFonts w:hint="cs"/>
          <w:rtl/>
        </w:rPr>
        <w:t xml:space="preserve">נתנו </w:t>
      </w:r>
      <w:r w:rsidR="00AC578C" w:rsidRPr="007B43DE">
        <w:rPr>
          <w:rFonts w:hint="cs"/>
          <w:rtl/>
        </w:rPr>
        <w:t>רז"ל שלושה סימנים כיון דאין מצוי זה בלא זה, אלא משמע דמצוי זה בלא זה</w:t>
      </w:r>
      <w:r w:rsidR="00846784" w:rsidRPr="007B43DE">
        <w:rPr>
          <w:rFonts w:hint="cs"/>
          <w:rtl/>
        </w:rPr>
        <w:t>"</w:t>
      </w:r>
      <w:r w:rsidR="00AC578C" w:rsidRPr="007B43DE">
        <w:rPr>
          <w:rFonts w:hint="cs"/>
          <w:rtl/>
        </w:rPr>
        <w:t xml:space="preserve"> ע"כ. ושמא י"ל דהבכורי יעקב ס"ל דהא מצינו בגמ' שם</w:t>
      </w:r>
      <w:r w:rsidR="00DF2AAC" w:rsidRPr="007B43DE">
        <w:rPr>
          <w:rFonts w:hint="cs"/>
          <w:rtl/>
        </w:rPr>
        <w:t xml:space="preserve"> </w:t>
      </w:r>
      <w:r w:rsidR="00AC578C" w:rsidRPr="007B43DE">
        <w:rPr>
          <w:rFonts w:hint="cs"/>
          <w:rtl/>
        </w:rPr>
        <w:t xml:space="preserve">מין ערבה הנקראת חילפא גילא שיש בה ב' סימני הערבה שעלה שלה אדום ומשוך כנחל, אך יש בה פגימות כמגל (עי' ט"ז סק"ג), </w:t>
      </w:r>
      <w:r w:rsidR="009A508B" w:rsidRPr="007B43DE">
        <w:rPr>
          <w:rFonts w:hint="cs"/>
          <w:rtl/>
        </w:rPr>
        <w:t>ו</w:t>
      </w:r>
      <w:r w:rsidR="00AC578C" w:rsidRPr="007B43DE">
        <w:rPr>
          <w:rFonts w:hint="cs"/>
          <w:rtl/>
        </w:rPr>
        <w:t>כשרה. וא"כ יכול שסובר דכל הערבות האחרות יש בהם ג' סימנים אלו זולת חילפא גילא שכתבה כן הגמ' להדיא. ושו"מ שכעי"ז</w:t>
      </w:r>
      <w:r w:rsidR="005F19AF" w:rsidRPr="007B43DE">
        <w:rPr>
          <w:rFonts w:hint="cs"/>
          <w:rtl/>
        </w:rPr>
        <w:t xml:space="preserve"> כתב הערוך לנר (סוכה לד.) וביאר</w:t>
      </w:r>
      <w:r w:rsidR="00AC578C" w:rsidRPr="007B43DE">
        <w:rPr>
          <w:rFonts w:hint="cs"/>
          <w:rtl/>
        </w:rPr>
        <w:t xml:space="preserve"> דברי הגמ' באופ"א, עיי"ש.</w:t>
      </w:r>
      <w:r w:rsidR="00FF4B65" w:rsidRPr="007B43DE">
        <w:rPr>
          <w:rFonts w:hint="cs"/>
          <w:rtl/>
        </w:rPr>
        <w:t xml:space="preserve"> (ומ"מ אי"ז מוכרח כ"כ דמצינו להפוסקים שדנו בער</w:t>
      </w:r>
      <w:r w:rsidR="007663A3" w:rsidRPr="007B43DE">
        <w:rPr>
          <w:rFonts w:hint="cs"/>
          <w:rtl/>
        </w:rPr>
        <w:t>בות שיש להם את ב' הסימנים וכו',</w:t>
      </w:r>
      <w:r w:rsidR="00FF4B65" w:rsidRPr="007B43DE">
        <w:rPr>
          <w:rFonts w:hint="cs"/>
          <w:rtl/>
        </w:rPr>
        <w:t xml:space="preserve"> וא"כ משמע שיש ערבות שאין בהם </w:t>
      </w:r>
      <w:r w:rsidR="00EA538C" w:rsidRPr="007B43DE">
        <w:rPr>
          <w:rFonts w:hint="cs"/>
          <w:rtl/>
        </w:rPr>
        <w:t>א</w:t>
      </w:r>
      <w:r w:rsidR="00FF4B65" w:rsidRPr="007B43DE">
        <w:rPr>
          <w:rFonts w:hint="cs"/>
          <w:rtl/>
        </w:rPr>
        <w:t>ת כל ג' הסימנים ואפי' שאינם חילפא גילא).</w:t>
      </w:r>
      <w:r w:rsidR="00AC578C" w:rsidRPr="007B43DE">
        <w:rPr>
          <w:rFonts w:hint="cs"/>
          <w:rtl/>
        </w:rPr>
        <w:t xml:space="preserve"> </w:t>
      </w:r>
      <w:r w:rsidR="00FC4BE3" w:rsidRPr="007B43DE">
        <w:rPr>
          <w:rFonts w:hint="cs"/>
          <w:rtl/>
        </w:rPr>
        <w:t>והנה המעיין במחזור ויטרי (סי' שס"ו) יראה שכתב שערבה שאין בה ג' סימנים הללו שקנה שלה אדום ועלה שלה משוך כנחל ופיה חלק פסולה. וכן מ</w:t>
      </w:r>
      <w:r w:rsidR="005C1E76" w:rsidRPr="007B43DE">
        <w:rPr>
          <w:rFonts w:hint="cs"/>
          <w:rtl/>
        </w:rPr>
        <w:t>שמעות דעת הלבוש (תרמ"ז סעי' א'), וצ"ע.</w:t>
      </w:r>
      <w:r w:rsidR="00FC4BE3" w:rsidRPr="007B43DE">
        <w:rPr>
          <w:rFonts w:hint="cs"/>
          <w:rtl/>
        </w:rPr>
        <w:t xml:space="preserve"> </w:t>
      </w:r>
    </w:p>
    <w:p w:rsidR="006D2BFA" w:rsidRPr="007B43DE" w:rsidRDefault="00FC4BE3" w:rsidP="007B43DE">
      <w:pPr>
        <w:rPr>
          <w:rtl/>
        </w:rPr>
      </w:pPr>
      <w:r w:rsidRPr="007B43DE">
        <w:rPr>
          <w:rFonts w:hint="cs"/>
          <w:rtl/>
        </w:rPr>
        <w:t xml:space="preserve">ומרן זצוק"ל בחזו"ע (סוכות עמ' שט"ז) כתב דערבה שיש בה את ג' הסימנים </w:t>
      </w:r>
      <w:r w:rsidR="000A01E3" w:rsidRPr="007B43DE">
        <w:rPr>
          <w:rFonts w:hint="cs"/>
          <w:rtl/>
        </w:rPr>
        <w:t>שהובאו בגמ', אך חכמי הבוטינ</w:t>
      </w:r>
      <w:r w:rsidR="00C124A0" w:rsidRPr="007B43DE">
        <w:rPr>
          <w:rFonts w:hint="cs"/>
          <w:rtl/>
        </w:rPr>
        <w:t>י</w:t>
      </w:r>
      <w:r w:rsidR="000A01E3" w:rsidRPr="007B43DE">
        <w:rPr>
          <w:rFonts w:hint="cs"/>
          <w:rtl/>
        </w:rPr>
        <w:t xml:space="preserve">קה טוענים שאין זה ממין הערבה, אלא ממין אחר אין בדבריהם כלום, שאין ספיקם מוציא מידי ודאי של רבותינו. </w:t>
      </w:r>
    </w:p>
  </w:footnote>
  <w:footnote w:id="2">
    <w:p w:rsidR="00703650" w:rsidRDefault="00B56C95" w:rsidP="007B43DE">
      <w:pPr>
        <w:rPr>
          <w:rtl/>
        </w:rPr>
      </w:pPr>
      <w:r w:rsidRPr="007B43DE">
        <w:footnoteRef/>
      </w:r>
      <w:r w:rsidR="00395338">
        <w:rPr>
          <w:rFonts w:hint="cs"/>
          <w:rtl/>
        </w:rPr>
        <w:t xml:space="preserve"> </w:t>
      </w:r>
      <w:r w:rsidR="00E346FD" w:rsidRPr="007B43DE">
        <w:rPr>
          <w:rFonts w:hint="cs"/>
          <w:rtl/>
        </w:rPr>
        <w:t xml:space="preserve">הנה מצינו למרן הב"י (תרמ"ז) שכתב </w:t>
      </w:r>
      <w:r w:rsidR="006409FA" w:rsidRPr="007B43DE">
        <w:rPr>
          <w:rFonts w:hint="cs"/>
          <w:rtl/>
        </w:rPr>
        <w:t>"</w:t>
      </w:r>
      <w:r w:rsidR="005F19AF" w:rsidRPr="007B43DE">
        <w:rPr>
          <w:rFonts w:hint="cs"/>
          <w:rtl/>
        </w:rPr>
        <w:t xml:space="preserve">והא דאמרינן דערבה קנה שלה אדום, וצפצפה קנה שלה לבן. מספקא לי אי אדום ממש בעינן וכל שאינו אדום אע"פ שהוא ירוק ככרתי לבן מיקרי, ופסול. או דילמא לבן דאמרינן היינו לבן ממש </w:t>
      </w:r>
      <w:r w:rsidR="006409FA" w:rsidRPr="007B43DE">
        <w:rPr>
          <w:rFonts w:hint="cs"/>
          <w:rtl/>
        </w:rPr>
        <w:t xml:space="preserve">וכל שאינו לבן ממש אדום מיקרי, שאע"פ שהוא ירוק מאחר שכשהשמש מכה בו הוא נעשה אדום בכלל אדום הוא, ולזה דעתי נוטה דאל"כ לא משכחת לדידן ערבה כשרה שהרי כל ערבה שלנו קנה שלה ירוק ואפי' אותה שהקנה שלה אדום אינו אלא מצד שמכה בו השמש, שהרי כן תמצא באילן ענפים שקנה שלהם ירוק, ואפי' בענף אחד קצתו </w:t>
      </w:r>
      <w:r w:rsidR="00B51355" w:rsidRPr="007B43DE">
        <w:rPr>
          <w:rFonts w:hint="cs"/>
          <w:rtl/>
        </w:rPr>
        <w:t xml:space="preserve">אדום וקצתו ירוק". מבואר מדברי הב"י דקנה ירוק אינו מין אחר של ערבה, אלא אותה ערבה רק שיש בה החיסרון שלא הכתה עליו השמש. ולפי"ז נראה דיהיה כשר אפי' לכתחילה שהרי אי"ז חסרון בערבה, אלא חסרון טכני שלא הגיעה השמש לשם, וגם ליכא חסרון בהדר, ומה שהגמ' הביאה סימנים לערבה היינו לזהותם שסוג עץ כזה הינו ערבה. ובפרט שבעץ זה ישנם ערבות עם קנה אדום, שמוכיח שהוא עץ ערבה. וכן נראה משמעות לשונו של מרן הב"י שכתב: מאחר כשהשמש מכה בו נעשה אדום "בכלל אדום הוא". היינו שהוא נחשב אדום כעת אפי' שכעת הינו ירוק. </w:t>
      </w:r>
      <w:r w:rsidR="00F06DB2" w:rsidRPr="007B43DE">
        <w:rPr>
          <w:rFonts w:hint="cs"/>
          <w:rtl/>
        </w:rPr>
        <w:t>ועי' בספר כפות תמרים (סוכה לד.) שכתב דערבות שקנה שלהם ירוק היינו משום שלא גדלו כל צורכם, אך לאחר שיתבשלו הקנה שלהם יהיה אדום ממש וכו'. (ועי' בברכי יוסף סק"א). מבואר א"כ דאם אילן זה מוציא ערבות עם קנה אדום, ויש שם כמה עם קנה ירוק שפיר יש להכשירו אף לכתחילה</w:t>
      </w:r>
      <w:r w:rsidR="0091202F" w:rsidRPr="007B43DE">
        <w:rPr>
          <w:rFonts w:hint="cs"/>
          <w:rtl/>
        </w:rPr>
        <w:t xml:space="preserve"> </w:t>
      </w:r>
      <w:r w:rsidR="00F06DB2" w:rsidRPr="007B43DE">
        <w:rPr>
          <w:rFonts w:hint="cs"/>
          <w:rtl/>
        </w:rPr>
        <w:t xml:space="preserve">דהרי מין ערבה מובהק הוא. ועיין נמי בספר פרי עץ הדר (ח"ד עמ' ע"ז) שכתב שבאילן שיש בו ערבות שקנה שלהם אדום מחמת השמש, ויש שהקנה שלהם ירוק כל הערבות כשרות אחר שהוכח שאילן זה מוציא ערבות ממין כשר. ועי' בפרי מגדים (סק"ב) שכתב להכשיר חילפא גילא אף לשיטת רש"י לכתחילה, אחר שחזינן דהוא ממין הערבה אע"פ שיש בו פגימות. ודון מיניה ואוקי באתרין דבערבה דידן דאיכא ג' סימני הערבה, ואף שהוא כעת ירוק הא יכול הוא להשתנות ע"י הכאת השמש כדברי הב"י, או ע"י שיגדל מעט כדברי הכפות תמרים, </w:t>
      </w:r>
      <w:r w:rsidR="0093662A" w:rsidRPr="007B43DE">
        <w:rPr>
          <w:rFonts w:hint="cs"/>
          <w:rtl/>
        </w:rPr>
        <w:t>ו</w:t>
      </w:r>
      <w:r w:rsidR="00F06DB2" w:rsidRPr="007B43DE">
        <w:rPr>
          <w:rFonts w:hint="cs"/>
          <w:rtl/>
        </w:rPr>
        <w:t>שפיר</w:t>
      </w:r>
      <w:r w:rsidR="0093662A" w:rsidRPr="007B43DE">
        <w:rPr>
          <w:rFonts w:hint="cs"/>
          <w:rtl/>
        </w:rPr>
        <w:t xml:space="preserve"> יכול</w:t>
      </w:r>
      <w:r w:rsidR="00F06DB2" w:rsidRPr="007B43DE">
        <w:rPr>
          <w:rFonts w:hint="cs"/>
          <w:rtl/>
        </w:rPr>
        <w:t xml:space="preserve"> ליטלם ואפי' לכתחילה</w:t>
      </w:r>
      <w:r w:rsidR="007E5AAD" w:rsidRPr="007B43DE">
        <w:rPr>
          <w:rFonts w:hint="cs"/>
          <w:rtl/>
        </w:rPr>
        <w:t xml:space="preserve">. </w:t>
      </w:r>
      <w:r w:rsidR="0091202F" w:rsidRPr="007B43DE">
        <w:rPr>
          <w:rFonts w:hint="cs"/>
          <w:rtl/>
        </w:rPr>
        <w:t>וכן מבואר בשו"ת אור לציון (ח"ד עמ' ר"ו) בהערות שכתב דאף ערבות שאין קנה שלהם אדום כשרים למצוה דאחר שאם השמש תכה בהם יהיו אדומים בכלל אדומים נינהו.</w:t>
      </w:r>
      <w:r w:rsidR="00395338">
        <w:rPr>
          <w:rFonts w:hint="cs"/>
          <w:rtl/>
        </w:rPr>
        <w:t xml:space="preserve"> </w:t>
      </w:r>
      <w:r w:rsidR="0091202F" w:rsidRPr="007B43DE">
        <w:rPr>
          <w:rFonts w:hint="cs"/>
          <w:rtl/>
        </w:rPr>
        <w:t>וע"ע ברמ"א שם, ובלבוש (ס"א), ובט"ז (סק"א), ובגר"ז (ס"א), ובמשנ"ב (סק"ב), ובכה"ח (סק"ד), ובחזו"ע (עמ' שט"ז ובהערות שם).</w:t>
      </w:r>
    </w:p>
    <w:p w:rsidR="0010556B" w:rsidRPr="007B43DE" w:rsidRDefault="00B43E06" w:rsidP="00703650">
      <w:pPr>
        <w:rPr>
          <w:rtl/>
        </w:rPr>
      </w:pPr>
      <w:r w:rsidRPr="007B43DE">
        <w:rPr>
          <w:rFonts w:hint="cs"/>
          <w:rtl/>
        </w:rPr>
        <w:t>ו</w:t>
      </w:r>
      <w:r w:rsidR="009D521A" w:rsidRPr="007B43DE">
        <w:rPr>
          <w:rFonts w:hint="cs"/>
          <w:rtl/>
        </w:rPr>
        <w:t>ראיתי שבספר כשרות ארבעת המינים (שטרן, עמ' קי"ד) כתב לדייק מדברי הרמב"ם</w:t>
      </w:r>
      <w:r w:rsidR="009522EA" w:rsidRPr="007B43DE">
        <w:rPr>
          <w:rFonts w:hint="cs"/>
          <w:rtl/>
        </w:rPr>
        <w:t xml:space="preserve"> (לולב פ"ז ה"ג)</w:t>
      </w:r>
      <w:r w:rsidR="009D521A" w:rsidRPr="007B43DE">
        <w:rPr>
          <w:rFonts w:hint="cs"/>
          <w:rtl/>
        </w:rPr>
        <w:t xml:space="preserve"> והשו"ע </w:t>
      </w:r>
      <w:r w:rsidR="009522EA" w:rsidRPr="007B43DE">
        <w:rPr>
          <w:rFonts w:hint="cs"/>
          <w:rtl/>
        </w:rPr>
        <w:t xml:space="preserve">(שם) </w:t>
      </w:r>
      <w:r w:rsidR="009D521A" w:rsidRPr="007B43DE">
        <w:rPr>
          <w:rFonts w:hint="cs"/>
          <w:rtl/>
        </w:rPr>
        <w:t xml:space="preserve">שיש ענין לחזר דווקא אחר קנה אדום. דהנה בדין הצפצפה כתבו כך: "ויש מין אחר דומה לערבה אלא שעלה שלו עגול ופיו דומה למסר וקנה שלו אינו אדום וזהו הנקרא צפצפה". והעיר </w:t>
      </w:r>
      <w:r w:rsidR="00540E14" w:rsidRPr="007B43DE">
        <w:rPr>
          <w:rFonts w:hint="cs"/>
          <w:rtl/>
        </w:rPr>
        <w:t>דאמאי שינו מלשון הגמ' שכתבה וקנה שלה לבן, וכתבו הם שקנה שלה "אינו אדום". דמשמע מהכא שרצו להדגיש דבעי' בדווקא אדום וכצד א' בספיקו של הב"י שכל שאינו אדום</w:t>
      </w:r>
      <w:r w:rsidR="0093662A" w:rsidRPr="007B43DE">
        <w:rPr>
          <w:rFonts w:hint="cs"/>
          <w:rtl/>
        </w:rPr>
        <w:t>,</w:t>
      </w:r>
      <w:r w:rsidR="00540E14" w:rsidRPr="007B43DE">
        <w:rPr>
          <w:rFonts w:hint="cs"/>
          <w:rtl/>
        </w:rPr>
        <w:t xml:space="preserve"> ל</w:t>
      </w:r>
      <w:r w:rsidR="0093662A" w:rsidRPr="007B43DE">
        <w:rPr>
          <w:rFonts w:hint="cs"/>
          <w:rtl/>
        </w:rPr>
        <w:t>בן מיקרי, ואפי' יהיה ירוק ככרתי.</w:t>
      </w:r>
      <w:r w:rsidR="00540E14" w:rsidRPr="007B43DE">
        <w:rPr>
          <w:rFonts w:hint="cs"/>
          <w:rtl/>
        </w:rPr>
        <w:t xml:space="preserve"> והסיק מזה להלכה דודאי רצוי לקחת ערבה שקנה שלה אדום וכו'. אמנם אחר המחילה יש להשיב על דבריו </w:t>
      </w:r>
      <w:r w:rsidR="00322D39" w:rsidRPr="007B43DE">
        <w:rPr>
          <w:rFonts w:hint="cs"/>
          <w:rtl/>
        </w:rPr>
        <w:t>דהנה מה שכתבו הרמב"ם והשו"ע בצפצפה שאין קנה שלו אדום זהו כדי להורות דבצפצפה לעולם לא יכול להיות שהקנה שלה יהיה אדום אלא או לבן או ירוק וכו', משא"כ בערבה אף אם הקנה הוא ירוק ואינו אדום, אי"ז חסרון בקנה אם ידעינן שמחמת שלא הכתה עליו השמש נעשה כך או שלא גדל כל צורכו. ומה שהשו"ע כתב בצפצפה הלשון שאינו אדום זהו גופא ראיה להא דאף ירוק בערבה כשר לכתחילה די"ל דדוקא בע</w:t>
      </w:r>
      <w:r w:rsidRPr="007B43DE">
        <w:rPr>
          <w:rFonts w:hint="cs"/>
          <w:rtl/>
        </w:rPr>
        <w:t>רבות בעי' אדום, אך גם ירוק מהני</w:t>
      </w:r>
      <w:r w:rsidR="00322D39" w:rsidRPr="007B43DE">
        <w:rPr>
          <w:rFonts w:hint="cs"/>
          <w:rtl/>
        </w:rPr>
        <w:t xml:space="preserve"> משום ש</w:t>
      </w:r>
      <w:r w:rsidRPr="007B43DE">
        <w:rPr>
          <w:rFonts w:hint="cs"/>
          <w:rtl/>
        </w:rPr>
        <w:t xml:space="preserve">כיון שיכול שיהיה </w:t>
      </w:r>
      <w:r w:rsidR="00322D39" w:rsidRPr="007B43DE">
        <w:rPr>
          <w:rFonts w:hint="cs"/>
          <w:rtl/>
        </w:rPr>
        <w:t xml:space="preserve">אדום חשיב כבר כעת כאדום וכמש"כ הב"י. אך בצפצפה </w:t>
      </w:r>
      <w:r w:rsidRPr="007B43DE">
        <w:rPr>
          <w:rFonts w:hint="cs"/>
          <w:rtl/>
        </w:rPr>
        <w:t>אם היא</w:t>
      </w:r>
      <w:r w:rsidR="00322D39" w:rsidRPr="007B43DE">
        <w:rPr>
          <w:rFonts w:hint="cs"/>
          <w:rtl/>
        </w:rPr>
        <w:t xml:space="preserve"> ירוק</w:t>
      </w:r>
      <w:r w:rsidRPr="007B43DE">
        <w:rPr>
          <w:rFonts w:hint="cs"/>
          <w:rtl/>
        </w:rPr>
        <w:t>ה</w:t>
      </w:r>
      <w:r w:rsidR="00322D39" w:rsidRPr="007B43DE">
        <w:rPr>
          <w:rFonts w:hint="cs"/>
          <w:rtl/>
        </w:rPr>
        <w:t xml:space="preserve"> וכ</w:t>
      </w:r>
      <w:r w:rsidRPr="007B43DE">
        <w:rPr>
          <w:rFonts w:hint="cs"/>
          <w:rtl/>
        </w:rPr>
        <w:t>ד</w:t>
      </w:r>
      <w:r w:rsidR="00322D39" w:rsidRPr="007B43DE">
        <w:rPr>
          <w:rFonts w:hint="cs"/>
          <w:rtl/>
        </w:rPr>
        <w:t>ו' אי"ז סימן שיכול להתהפך לאדום, אלא צריך שיהיה אדום בדווקא וא</w:t>
      </w:r>
      <w:r w:rsidR="0093662A" w:rsidRPr="007B43DE">
        <w:rPr>
          <w:rFonts w:hint="cs"/>
          <w:rtl/>
        </w:rPr>
        <w:t>ם יהיה אדום יש צד להסתפק בזה</w:t>
      </w:r>
      <w:r w:rsidR="00322D39" w:rsidRPr="007B43DE">
        <w:rPr>
          <w:rFonts w:hint="cs"/>
          <w:rtl/>
        </w:rPr>
        <w:t xml:space="preserve"> משום שבצפצפה הירוק לא יתהפך לעולם לאדום, ולכן אי"ז סימן מה שהוא ירוק. ולכן כתבו דווקא "שאינו אדום" דהיינו שרק אם הוא יהיה אדום איכא צד לספוקי וכו', משא"כ ערבה אם היא ירוקה אז אם יש בה את הב' סימנים הנוספים של עלה משוך כנחל ופיה חלק ודאי דיתהפך לאדום אם יכה בו השמש או שיגדל יותר, ודו"ק. ועוד יש להשיב ע"ד דהא הב"י להדיא כתב דירוק חשיב לאדום והאיך דיוק מדברי השו"ע יכול לסתור פסק הלכה שכתב להדיא, הילכך אנן בדידן דירוק כשר אף לכתחי</w:t>
      </w:r>
      <w:r w:rsidR="006020C4" w:rsidRPr="007B43DE">
        <w:rPr>
          <w:rFonts w:hint="cs"/>
          <w:rtl/>
        </w:rPr>
        <w:t>לה ואינו צריך לחזר אחר קנה אדום, ומ"מ ראיתי שיש שכתבו</w:t>
      </w:r>
      <w:r w:rsidR="00395338">
        <w:rPr>
          <w:rFonts w:hint="cs"/>
          <w:rtl/>
        </w:rPr>
        <w:t xml:space="preserve"> </w:t>
      </w:r>
      <w:r w:rsidR="006020C4" w:rsidRPr="007B43DE">
        <w:rPr>
          <w:rFonts w:hint="cs"/>
          <w:rtl/>
        </w:rPr>
        <w:t xml:space="preserve">שמצד זה אלי ואנוהו יש לעדיף לקחת ערבות עם קנה אדום, ומ"מ חומרא היא זו, והמחמיר </w:t>
      </w:r>
      <w:r w:rsidR="001F11A0" w:rsidRPr="007B43DE">
        <w:rPr>
          <w:rFonts w:hint="cs"/>
          <w:rtl/>
        </w:rPr>
        <w:t xml:space="preserve">בזה </w:t>
      </w:r>
      <w:r w:rsidR="006020C4" w:rsidRPr="007B43DE">
        <w:rPr>
          <w:rFonts w:hint="cs"/>
          <w:rtl/>
        </w:rPr>
        <w:t>תבוא עליו ברכה.</w:t>
      </w:r>
    </w:p>
  </w:footnote>
  <w:footnote w:id="3">
    <w:p w:rsidR="00736F4B" w:rsidRPr="007B43DE" w:rsidRDefault="0010556B" w:rsidP="00703650">
      <w:r w:rsidRPr="007B43DE">
        <w:footnoteRef/>
      </w:r>
      <w:r w:rsidRPr="007B43DE">
        <w:rPr>
          <w:rFonts w:hint="cs"/>
          <w:rtl/>
        </w:rPr>
        <w:t xml:space="preserve"> בגמ' סוכה (דף לג:)</w:t>
      </w:r>
      <w:r w:rsidR="00695AC3" w:rsidRPr="007B43DE">
        <w:rPr>
          <w:rFonts w:hint="cs"/>
          <w:rtl/>
        </w:rPr>
        <w:t xml:space="preserve"> "</w:t>
      </w:r>
      <w:r w:rsidRPr="007B43DE">
        <w:rPr>
          <w:rFonts w:hint="cs"/>
          <w:rtl/>
        </w:rPr>
        <w:t xml:space="preserve">ת"ר ערבי נחל הגדלין על הנחל. תניא אידך </w:t>
      </w:r>
      <w:r w:rsidR="008E1B1B" w:rsidRPr="007B43DE">
        <w:rPr>
          <w:rFonts w:hint="cs"/>
          <w:rtl/>
        </w:rPr>
        <w:t>ערבי נחל אין לי אלא ערבי נחל של בעל ושל הרים מנין, ת"ל ערבי נחל מכל מקום". והנה יש לדון האם לכת</w:t>
      </w:r>
      <w:r w:rsidR="00C0467F" w:rsidRPr="007B43DE">
        <w:rPr>
          <w:rFonts w:hint="cs"/>
          <w:rtl/>
        </w:rPr>
        <w:t>חילה מצוה בערבות הגדלים על הנחל, וערבות של בעל ושל הרים הם כשרות, אך אינם מצוה מן המובחר, או דילמא אף ערבות הג</w:t>
      </w:r>
      <w:r w:rsidR="00D240DA" w:rsidRPr="007B43DE">
        <w:rPr>
          <w:rFonts w:hint="cs"/>
          <w:rtl/>
        </w:rPr>
        <w:t>די</w:t>
      </w:r>
      <w:r w:rsidR="00C0467F" w:rsidRPr="007B43DE">
        <w:rPr>
          <w:rFonts w:hint="cs"/>
          <w:rtl/>
        </w:rPr>
        <w:t xml:space="preserve">לות בהרים וכו' הינם מצוה מן המובחר, </w:t>
      </w:r>
      <w:r w:rsidR="00324E18" w:rsidRPr="007B43DE">
        <w:rPr>
          <w:rFonts w:hint="cs"/>
          <w:rtl/>
        </w:rPr>
        <w:t>ר</w:t>
      </w:r>
      <w:r w:rsidR="00C0467F" w:rsidRPr="007B43DE">
        <w:rPr>
          <w:rFonts w:hint="cs"/>
          <w:rtl/>
        </w:rPr>
        <w:t xml:space="preserve">ק דיבר הכתוב בהוה שדרכן של ערבות שמצויות בנחל. </w:t>
      </w:r>
      <w:r w:rsidR="00652115" w:rsidRPr="007B43DE">
        <w:rPr>
          <w:rFonts w:hint="cs"/>
          <w:rtl/>
        </w:rPr>
        <w:t xml:space="preserve">ומצינו שנחלקו בזה הראשונים: דהנה הרש"י </w:t>
      </w:r>
      <w:r w:rsidR="005B7A6D" w:rsidRPr="007B43DE">
        <w:rPr>
          <w:rFonts w:hint="cs"/>
          <w:rtl/>
        </w:rPr>
        <w:t xml:space="preserve">(ד"ה ערבי נחל) כתב "נחלי מים מצוה בזה, ומיהו של בעל כשרה כדלקמן כדכתיב ערבי לשון רבים". </w:t>
      </w:r>
      <w:r w:rsidR="00D240DA" w:rsidRPr="007B43DE">
        <w:rPr>
          <w:rFonts w:hint="cs"/>
          <w:rtl/>
        </w:rPr>
        <w:t>מבואר לכאו'</w:t>
      </w:r>
      <w:r w:rsidR="002407FF" w:rsidRPr="007B43DE">
        <w:rPr>
          <w:rFonts w:hint="cs"/>
          <w:rtl/>
        </w:rPr>
        <w:t xml:space="preserve"> מהרש"י ד</w:t>
      </w:r>
      <w:r w:rsidR="00C713FE" w:rsidRPr="007B43DE">
        <w:rPr>
          <w:rFonts w:hint="cs"/>
          <w:rtl/>
        </w:rPr>
        <w:t>ס"ל ד</w:t>
      </w:r>
      <w:r w:rsidR="002407FF" w:rsidRPr="007B43DE">
        <w:rPr>
          <w:rFonts w:hint="cs"/>
          <w:rtl/>
        </w:rPr>
        <w:t>מצו</w:t>
      </w:r>
      <w:r w:rsidR="00C713FE" w:rsidRPr="007B43DE">
        <w:rPr>
          <w:rFonts w:hint="cs"/>
          <w:rtl/>
        </w:rPr>
        <w:t xml:space="preserve">ה מן המובחר הוא מערבות הגדילות בנחל, אך ערבות הגדילות בהרים כשרות נמי, אך אי"ז מצוה מן המובחר. וכן דעת התוספות (דף לד. ד"ה ורבנן) שכתבו "ולפי"ז צריך ליזהר שלא ליטול ערבה ללולב אא"כ גדילה על הנחל" וכו'. ועי' בשיבולי הלקט (סי' שנ"ו) שכתב שמצוה בערבה של נחל. </w:t>
      </w:r>
      <w:r w:rsidR="00D240DA" w:rsidRPr="007B43DE">
        <w:rPr>
          <w:rFonts w:hint="cs"/>
          <w:rtl/>
        </w:rPr>
        <w:t xml:space="preserve">ועי' ברא"ש (פ"ג סי' י"ג) שהאריך לחלוק ע"ד רש"י ותוס', וכתב דלא בעי' דווקא הגדילות בנחל. וכ"כ </w:t>
      </w:r>
      <w:r w:rsidR="00C713FE" w:rsidRPr="007B43DE">
        <w:rPr>
          <w:rFonts w:hint="cs"/>
          <w:rtl/>
        </w:rPr>
        <w:t>הטור (סי' תרמ"ז ס"ב)</w:t>
      </w:r>
      <w:r w:rsidR="00154139" w:rsidRPr="007B43DE">
        <w:rPr>
          <w:rFonts w:hint="cs"/>
          <w:rtl/>
        </w:rPr>
        <w:t xml:space="preserve"> וז"ל</w:t>
      </w:r>
      <w:r w:rsidR="00C713FE" w:rsidRPr="007B43DE">
        <w:rPr>
          <w:rFonts w:hint="cs"/>
          <w:rtl/>
        </w:rPr>
        <w:t xml:space="preserve"> "ורוב המפרשים פירשו שלכתחילה צריך לחזר אחר הגדילה על המים, אלא שבדיעבד יצא אף בגדילה על ההרים. וא"א הרא"ש ז"ל כתב דלכתחילה יוצא בשל הרים, וכן נראה מדברי הרמב"ם שכתב ערבי נחל האמורין בתורה, אין כל דבר הגדל על הנחל כשר, אלא מין ידוע הנקרא ערבי נחל, ורוב מין זה גדל בנחל ואפילו גדל במדבר או בהרים כשר", ע"כ. והנה המעיין בלשון מרן השו"ע יראה שכתב "ורוב מין זה גדל על הנחלים לכן נקראו ערבי נחל". ומשמע להדיא שלמד כדעת הרא"ש</w:t>
      </w:r>
      <w:r w:rsidR="00324E18" w:rsidRPr="007B43DE">
        <w:rPr>
          <w:rFonts w:hint="cs"/>
          <w:rtl/>
        </w:rPr>
        <w:t xml:space="preserve"> </w:t>
      </w:r>
      <w:r w:rsidR="00C713FE" w:rsidRPr="007B43DE">
        <w:rPr>
          <w:rFonts w:hint="cs"/>
          <w:rtl/>
        </w:rPr>
        <w:t xml:space="preserve">והרמב"ם דליכא חיוב דווקא מנחל אלא על שם שגדל בנחל נקראו כך, ושו"מ שכ"כ לדייק מדברי השו"ע בספר פרי עץ הדר (ח"ד עמ' פ"ט). </w:t>
      </w:r>
      <w:r w:rsidR="00013175" w:rsidRPr="007B43DE">
        <w:rPr>
          <w:rFonts w:hint="cs"/>
          <w:rtl/>
        </w:rPr>
        <w:t xml:space="preserve">וכן כתב </w:t>
      </w:r>
      <w:r w:rsidR="00B43E06" w:rsidRPr="007B43DE">
        <w:rPr>
          <w:rFonts w:hint="cs"/>
          <w:rtl/>
        </w:rPr>
        <w:t xml:space="preserve">נמי </w:t>
      </w:r>
      <w:r w:rsidR="00013175" w:rsidRPr="007B43DE">
        <w:rPr>
          <w:rFonts w:hint="cs"/>
          <w:rtl/>
        </w:rPr>
        <w:t>הרב אור לציון זצוק"ל בספרו (ח"ד עמ' ר"ו) שציין להני שמעתתא דס"ל דבעו ערבות דווקא הגדילות על הנחל ויש ליזהר בזה. וכתב ע"ז דמ"מ לא נהגו כן, ואף קשה ליזהר בזה לקחת דווקא הגדלים בנחל, ואפשר לקחת לכתחילה אפי' ערבות שאינם גדלות בנחל. אמנם מצינו להמשנ"ב (סק"ג) שציין לשיטה זו</w:t>
      </w:r>
      <w:r w:rsidR="00CF6046" w:rsidRPr="007B43DE">
        <w:rPr>
          <w:rFonts w:hint="cs"/>
          <w:rtl/>
        </w:rPr>
        <w:t>. וכתב,</w:t>
      </w:r>
      <w:r w:rsidR="00013175" w:rsidRPr="007B43DE">
        <w:rPr>
          <w:rFonts w:hint="cs"/>
          <w:rtl/>
        </w:rPr>
        <w:t xml:space="preserve"> </w:t>
      </w:r>
      <w:r w:rsidR="00154139" w:rsidRPr="007B43DE">
        <w:rPr>
          <w:rFonts w:hint="cs"/>
          <w:rtl/>
        </w:rPr>
        <w:t>ד</w:t>
      </w:r>
      <w:r w:rsidR="00013175" w:rsidRPr="007B43DE">
        <w:rPr>
          <w:rFonts w:hint="cs"/>
          <w:rtl/>
        </w:rPr>
        <w:t>לכתחילה יש להחמיר ליקח מהנחל. (והביא נמי שיטת הט"ז דס"ל דלא בעי' להחמיר בזה). וכ"כ נמי הכה"ח (סק"ו)</w:t>
      </w:r>
      <w:r w:rsidR="00410A2E" w:rsidRPr="007B43DE">
        <w:rPr>
          <w:rFonts w:hint="cs"/>
          <w:rtl/>
        </w:rPr>
        <w:t xml:space="preserve"> וז"ל</w:t>
      </w:r>
      <w:r w:rsidR="00013175" w:rsidRPr="007B43DE">
        <w:rPr>
          <w:rFonts w:hint="cs"/>
          <w:rtl/>
        </w:rPr>
        <w:t xml:space="preserve"> "ואע"ג דלדינא עיקר דערבה אפילו גדילה במדבר או בהרים כשרה כדעת רוב הפוסקים ופסק כן מרן בשו"ע, מכל מקום טוב ליזהר היכא דאפשר שיהיה</w:t>
      </w:r>
      <w:r w:rsidR="00B43E06" w:rsidRPr="007B43DE">
        <w:rPr>
          <w:rFonts w:hint="cs"/>
          <w:rtl/>
        </w:rPr>
        <w:t xml:space="preserve"> </w:t>
      </w:r>
      <w:r w:rsidR="00013175" w:rsidRPr="007B43DE">
        <w:rPr>
          <w:rFonts w:hint="cs"/>
          <w:rtl/>
        </w:rPr>
        <w:t>ערבה שגדילה בנחל לצאת יד"ח שאר הפוסקים", ע"כ. ועי' נמי למרן זצוק</w:t>
      </w:r>
      <w:r w:rsidR="00F6319E" w:rsidRPr="007B43DE">
        <w:rPr>
          <w:rFonts w:hint="cs"/>
          <w:rtl/>
        </w:rPr>
        <w:t>"</w:t>
      </w:r>
      <w:r w:rsidR="00013175" w:rsidRPr="007B43DE">
        <w:rPr>
          <w:rFonts w:hint="cs"/>
          <w:rtl/>
        </w:rPr>
        <w:t xml:space="preserve">ל בספרו חזו"ע (עמ' שכ"ט) שהביא לדברי ר' יונה נבון בספרו גט מקושר (דף קט"ו סע"ב) שכתב דלענין דינא קיי"ל כהרא"ש והרמב"ם </w:t>
      </w:r>
      <w:r w:rsidR="00410A2E" w:rsidRPr="007B43DE">
        <w:rPr>
          <w:rFonts w:hint="cs"/>
          <w:rtl/>
        </w:rPr>
        <w:t>להכשיר בשל בעל והרים, ומ"מ מהיות טוב ליזהר היכא דאפשר ליקח דווקא מהנחל לצאת יד"ח דעת כל הפוסקים. ונראה דבפרט היום שמצוי מאוד ערבות שגדלו בנחל, ובטירחא מועטת יכול למצוא ערבות כאלו שיוצא בהם יד"ח כל הפוסקים שהצריכו דווקא הגדילות על הנחל למצוה מן המובחר, ולפום צערא אגרא.</w:t>
      </w:r>
    </w:p>
  </w:footnote>
  <w:footnote w:id="4">
    <w:p w:rsidR="00076941" w:rsidRPr="007B43DE" w:rsidRDefault="00736F4B" w:rsidP="00703650">
      <w:pPr>
        <w:rPr>
          <w:rtl/>
        </w:rPr>
      </w:pPr>
      <w:r w:rsidRPr="007B43DE">
        <w:footnoteRef/>
      </w:r>
      <w:r w:rsidRPr="007B43DE">
        <w:rPr>
          <w:rtl/>
        </w:rPr>
        <w:t xml:space="preserve"> </w:t>
      </w:r>
      <w:r w:rsidRPr="007B43DE">
        <w:rPr>
          <w:rFonts w:hint="cs"/>
          <w:rtl/>
        </w:rPr>
        <w:t xml:space="preserve">בגמ' סוכה (דף לד.) "ת"ר איזהו ערבה ואיזהו צפצפה. ערבה קנה שלה אדום, ועלה שלה משוך, ופיה חלק. צפצפה קנה שלה לבן, ועלה שלה עגול, ופיה דומה למגל. והא תניא </w:t>
      </w:r>
      <w:r w:rsidR="0034438C" w:rsidRPr="007B43DE">
        <w:rPr>
          <w:rFonts w:hint="cs"/>
          <w:rtl/>
        </w:rPr>
        <w:t>דומה למגל כשר, דומה למסר פסול. אמר אביי כי תניא ההיא בחילפא גילא. אמר אביי ש"מ האי חילפא גילא כשר להושענא...וכו". וברש"י כתב (ד"ה והתניא) "</w:t>
      </w:r>
      <w:r w:rsidR="00A441F8" w:rsidRPr="007B43DE">
        <w:rPr>
          <w:rFonts w:hint="cs"/>
          <w:rtl/>
        </w:rPr>
        <w:t xml:space="preserve">מגל קציר פגימותיה כולן נוטות לצד אחד עקומות כלפי בית יד שלה". ובד"ה מסר כתב "היא מגירה שקורין שיג"ה ופגימותיה הולכות נכחו, ולהן שני עוקצין אחד מכאן ואחד מכאן כפגימות הסכין". מתבאר מדברי רש"י דאיכא חילוק בין סוגי הפגימות עצמן, דבמגל הפגימות נוטות לצד אחד. אך במסר הפגימות נוטות זו לצד זו, וערבה שכזו פסולה. וכ"כ הטור בביאור דברי הגמ'. מאידך מצינו להרמב"ם שכתב (לולב פ"ז ה"ד) "ויש מין ערבה שאין פי העלה שלה חלק ואינו כמסר אלא יש בו תלמים קטנים עד מאוד כמו פי מגל קטן וזה כשר". ומרן בשולחנו הטהור (תרמ"ז סעי' א') העתיק כלשון הרמב"ם. ומתבאר מדבריהם </w:t>
      </w:r>
      <w:r w:rsidR="000C603F" w:rsidRPr="007B43DE">
        <w:rPr>
          <w:rFonts w:hint="cs"/>
          <w:rtl/>
        </w:rPr>
        <w:t>ש</w:t>
      </w:r>
      <w:r w:rsidR="00CE2FB6" w:rsidRPr="007B43DE">
        <w:rPr>
          <w:rFonts w:hint="cs"/>
          <w:rtl/>
        </w:rPr>
        <w:t xml:space="preserve">לא פירשו כרש"י אלא </w:t>
      </w:r>
      <w:r w:rsidR="000C603F" w:rsidRPr="007B43DE">
        <w:rPr>
          <w:rFonts w:hint="cs"/>
          <w:rtl/>
        </w:rPr>
        <w:t xml:space="preserve">פירשו החילוק שבין מגל למסר, דמגל פגימותיו קטנות עד מאוד, אך מסר פגימותיו עבות וגסות. </w:t>
      </w:r>
      <w:r w:rsidR="00CE2FB6" w:rsidRPr="007B43DE">
        <w:rPr>
          <w:rFonts w:hint="cs"/>
          <w:rtl/>
        </w:rPr>
        <w:t>[</w:t>
      </w:r>
      <w:r w:rsidR="000C603F" w:rsidRPr="007B43DE">
        <w:rPr>
          <w:rFonts w:hint="cs"/>
          <w:rtl/>
        </w:rPr>
        <w:t>ועי' נמי בביאור הגר"א (ד"ה ויש) שכתב דהשו"ע למד כדעת הרמב"ם</w:t>
      </w:r>
      <w:r w:rsidR="00CE2FB6" w:rsidRPr="007B43DE">
        <w:rPr>
          <w:rFonts w:hint="cs"/>
          <w:rtl/>
        </w:rPr>
        <w:t>]</w:t>
      </w:r>
      <w:r w:rsidR="000C603F" w:rsidRPr="007B43DE">
        <w:rPr>
          <w:rFonts w:hint="cs"/>
          <w:rtl/>
        </w:rPr>
        <w:t xml:space="preserve">. ומצינו אף להמאירי שלמד כדעת הרמב"ם </w:t>
      </w:r>
      <w:r w:rsidR="00CE2FB6" w:rsidRPr="007B43DE">
        <w:rPr>
          <w:rFonts w:hint="cs"/>
          <w:rtl/>
        </w:rPr>
        <w:t>שכתב ד</w:t>
      </w:r>
      <w:r w:rsidR="000C603F" w:rsidRPr="007B43DE">
        <w:rPr>
          <w:rFonts w:hint="cs"/>
          <w:rtl/>
        </w:rPr>
        <w:t xml:space="preserve">מגל היינו פגימות דקות ומסר היינו פגימות גסות. אמנם מצינו להרב ערוך השולחן (סעי' ב') שתמה אמאי </w:t>
      </w:r>
      <w:r w:rsidR="0079154D" w:rsidRPr="007B43DE">
        <w:rPr>
          <w:rFonts w:hint="cs"/>
          <w:rtl/>
        </w:rPr>
        <w:t>לא הביא הרמ"א את דעת רש"י והטור שיש חילוק בין מגל למסר בעצם הפגימות ולא בגודלם. ובאמת שבחיי אדם (כלל ק"נ ס"ט) חשש לדברי הרש"י והטור</w:t>
      </w:r>
      <w:r w:rsidR="00411967" w:rsidRPr="007B43DE">
        <w:rPr>
          <w:rFonts w:hint="cs"/>
          <w:rtl/>
        </w:rPr>
        <w:t>,</w:t>
      </w:r>
      <w:r w:rsidR="0079154D" w:rsidRPr="007B43DE">
        <w:rPr>
          <w:rFonts w:hint="cs"/>
          <w:rtl/>
        </w:rPr>
        <w:t xml:space="preserve"> והביאם להלכה. ומ"מ להלכה נקטינן כדברי מרן השו"ע דתליא בגודל הפגימות. וכ"כ נמי להדיא מרן זצוק"ל בחזו"ע (עמ' שט"ז), ודו"ק. אמנם דבר מוסכם לכו"ע דאם הפגימות עבות וגסות ונוטות לב' צדדים דהערבה פסולה.</w:t>
      </w:r>
    </w:p>
  </w:footnote>
  <w:footnote w:id="5">
    <w:p w:rsidR="00F153EC" w:rsidRPr="007B43DE" w:rsidRDefault="00434B64" w:rsidP="00703650">
      <w:pPr>
        <w:rPr>
          <w:rtl/>
        </w:rPr>
      </w:pPr>
      <w:r w:rsidRPr="007B43DE">
        <w:footnoteRef/>
      </w:r>
      <w:r w:rsidRPr="007B43DE">
        <w:rPr>
          <w:rtl/>
        </w:rPr>
        <w:t xml:space="preserve"> </w:t>
      </w:r>
      <w:r w:rsidRPr="007B43DE">
        <w:rPr>
          <w:rFonts w:hint="cs"/>
          <w:rtl/>
        </w:rPr>
        <w:t xml:space="preserve">במשנה בסוכה (דף לג:) איתא "והצפצפה פסולה". ובגמ' (דף לד.) </w:t>
      </w:r>
      <w:r w:rsidR="00B65E18" w:rsidRPr="007B43DE">
        <w:rPr>
          <w:rFonts w:hint="cs"/>
          <w:rtl/>
        </w:rPr>
        <w:t>איתא</w:t>
      </w:r>
      <w:r w:rsidRPr="007B43DE">
        <w:rPr>
          <w:rFonts w:hint="cs"/>
          <w:rtl/>
        </w:rPr>
        <w:t xml:space="preserve"> "צפצפה קנה שלה לבן, ועלה שלה עגול, ופיה דומה למגל". והביאום הטור והשו"ע (תרמ"ז סעי' א'). וע"ע במאירי (סוכה לג:). </w:t>
      </w:r>
      <w:r w:rsidR="00A50691" w:rsidRPr="007B43DE">
        <w:rPr>
          <w:rFonts w:hint="cs"/>
          <w:rtl/>
        </w:rPr>
        <w:t>[</w:t>
      </w:r>
      <w:r w:rsidRPr="007B43DE">
        <w:rPr>
          <w:rFonts w:hint="cs"/>
          <w:rtl/>
        </w:rPr>
        <w:t>ועי' ברמב"ם (לולב פ"ד ה"ג) ששינה הלשון קצת בדין הצפצפה, ועיי"ש בדברי הכס"מ והלח"מ</w:t>
      </w:r>
      <w:r w:rsidR="00961239" w:rsidRPr="007B43DE">
        <w:rPr>
          <w:rFonts w:hint="cs"/>
          <w:rtl/>
        </w:rPr>
        <w:t>,</w:t>
      </w:r>
      <w:r w:rsidRPr="007B43DE">
        <w:rPr>
          <w:rFonts w:hint="cs"/>
          <w:rtl/>
        </w:rPr>
        <w:t xml:space="preserve"> ובכפות תמרים (סוכה לג:), ואכמ"ל בזה</w:t>
      </w:r>
      <w:r w:rsidR="00A50691" w:rsidRPr="007B43DE">
        <w:rPr>
          <w:rFonts w:hint="cs"/>
          <w:rtl/>
        </w:rPr>
        <w:t>]</w:t>
      </w:r>
      <w:r w:rsidRPr="007B43DE">
        <w:rPr>
          <w:rFonts w:hint="cs"/>
          <w:rtl/>
        </w:rPr>
        <w:t xml:space="preserve">. והנה מצינו להגר"ז (תרמ"ז סעי' ג') שכתב לפסול </w:t>
      </w:r>
      <w:r w:rsidR="00D52104" w:rsidRPr="007B43DE">
        <w:rPr>
          <w:rFonts w:hint="cs"/>
          <w:rtl/>
        </w:rPr>
        <w:t>הצפצפה אף בשעת הדחק, ואפי' בדיעבד, ואף בגדילה על המים. וקצת צ"ע בדבריו דהא אחר שצפצפה אין בה את ג' סימני הערבה מוכח דאינה ממשפחת הערבות, ומה ההו"א שנכשירהו בשעת הדחק, דהא אי</w:t>
      </w:r>
      <w:r w:rsidR="007F1B21" w:rsidRPr="007B43DE">
        <w:rPr>
          <w:rFonts w:hint="cs"/>
          <w:rtl/>
        </w:rPr>
        <w:t>ן</w:t>
      </w:r>
      <w:r w:rsidR="00D52104" w:rsidRPr="007B43DE">
        <w:rPr>
          <w:rFonts w:hint="cs"/>
          <w:rtl/>
        </w:rPr>
        <w:t xml:space="preserve"> צי</w:t>
      </w:r>
      <w:r w:rsidR="007F1B21" w:rsidRPr="007B43DE">
        <w:rPr>
          <w:rFonts w:hint="cs"/>
          <w:rtl/>
        </w:rPr>
        <w:t>ו</w:t>
      </w:r>
      <w:r w:rsidR="00D52104" w:rsidRPr="007B43DE">
        <w:rPr>
          <w:rFonts w:hint="cs"/>
          <w:rtl/>
        </w:rPr>
        <w:t>וי התורה לצפצפה אלא לערבה.</w:t>
      </w:r>
      <w:r w:rsidR="007F1B21" w:rsidRPr="007B43DE">
        <w:rPr>
          <w:rFonts w:hint="cs"/>
          <w:rtl/>
        </w:rPr>
        <w:t xml:space="preserve"> </w:t>
      </w:r>
      <w:r w:rsidR="00D52104" w:rsidRPr="007B43DE">
        <w:rPr>
          <w:rFonts w:hint="cs"/>
          <w:rtl/>
        </w:rPr>
        <w:t xml:space="preserve">וכמו שאם לא מצא אתרוג </w:t>
      </w:r>
      <w:r w:rsidR="007F1B21" w:rsidRPr="007B43DE">
        <w:rPr>
          <w:rFonts w:hint="cs"/>
          <w:rtl/>
        </w:rPr>
        <w:t>שאינו יכול לצאת בלימון הדומה לו, הכ"נ בערבה נימא הכי.</w:t>
      </w:r>
      <w:r w:rsidR="00D52104" w:rsidRPr="007B43DE">
        <w:rPr>
          <w:rFonts w:hint="cs"/>
          <w:rtl/>
        </w:rPr>
        <w:t xml:space="preserve"> וכבר אמרו כעי"ז בגמ' סוכה (דף לא.) ארבעת מינין שבלולב כשם שאין פוחתין מהן כך אין מוסיפין עליהם, לא מצא אתרוג לא יביא לא פריש ולא רימון ולא דבר אחר וכו'. וא"כ האיך יהיה הו"א </w:t>
      </w:r>
      <w:r w:rsidR="00610BB6" w:rsidRPr="007B43DE">
        <w:rPr>
          <w:rFonts w:hint="cs"/>
          <w:rtl/>
        </w:rPr>
        <w:t>ל</w:t>
      </w:r>
      <w:r w:rsidR="00D52104" w:rsidRPr="007B43DE">
        <w:rPr>
          <w:rFonts w:hint="cs"/>
          <w:rtl/>
        </w:rPr>
        <w:t>הביא דבר אחר, ובפרט דבגמ' הסיקה שם (בע"ב) ד</w:t>
      </w:r>
      <w:r w:rsidR="002F548B" w:rsidRPr="007B43DE">
        <w:rPr>
          <w:rFonts w:hint="cs"/>
          <w:rtl/>
        </w:rPr>
        <w:t>נפיק</w:t>
      </w:r>
      <w:r w:rsidR="00D52104" w:rsidRPr="007B43DE">
        <w:rPr>
          <w:rFonts w:hint="cs"/>
          <w:rtl/>
        </w:rPr>
        <w:t xml:space="preserve"> חורבא מיניה אם יקח דבר אחר, </w:t>
      </w:r>
      <w:r w:rsidR="00A50691" w:rsidRPr="007B43DE">
        <w:rPr>
          <w:rFonts w:hint="cs"/>
          <w:rtl/>
        </w:rPr>
        <w:t>ויש ליישב</w:t>
      </w:r>
      <w:r w:rsidR="00D52104" w:rsidRPr="007B43DE">
        <w:rPr>
          <w:rFonts w:hint="cs"/>
          <w:rtl/>
        </w:rPr>
        <w:t>.</w:t>
      </w:r>
    </w:p>
  </w:footnote>
  <w:footnote w:id="6">
    <w:p w:rsidR="00111EF5" w:rsidRPr="007B43DE" w:rsidRDefault="00111EF5" w:rsidP="00703650">
      <w:pPr>
        <w:rPr>
          <w:rtl/>
        </w:rPr>
      </w:pPr>
      <w:r w:rsidRPr="007B43DE">
        <w:footnoteRef/>
      </w:r>
      <w:r w:rsidRPr="007B43DE">
        <w:rPr>
          <w:rtl/>
        </w:rPr>
        <w:t xml:space="preserve"> </w:t>
      </w:r>
      <w:r w:rsidRPr="007B43DE">
        <w:rPr>
          <w:rFonts w:hint="cs"/>
          <w:rtl/>
        </w:rPr>
        <w:t>הנה עץ האקליפטוס יש לו את ג' הסימנים של הערבה. פיו חלק, עלה שלו משוך כנחל, וקנה שלו אדום. והמהרי"ל דיסקין זצוק"ל דן להכשירה כמין עץ ערבה. אמנם הגרצ"פ פראנק זצוק"ל בספרו הר צבי (חיו"ד ס"ס קפ"א) כתב לפוסלה משום שכיון שיש לה ריח חזק נראה שאינה ממין הערבה. וכמו שכתב המדרש במדרש רבה פרשת אמור (פרשה ל' סי' י"ב) "אתרוג יש בו טעם ויש בו גם ריח, הדס יש בו ריח ואין בו טעם, לולב יש בו טעם ואין לו ריח, ערבה אין בה לא טעם ולא ריח". מתבאר דלערבה אין ריח כלל, ובאקליפטוס יש ריח. ועוד שהרי כתב הרמב"ם (פ"ז מהלכות לולב ה"ג) שרוב מין הערבה גדל על הנחלים, וכ"כ נמי הרא"ש דערבי נחל היינו ממין הגדל על הנחל. ועצי האקליפטוס אין עיקר גידולם על הנחל, ובודאי שאינם בכלל ערבי נחל ופסולים למצות ערבה. והביא כ"ז מרן זצוק"ל בספרו חזו"ע (עמ' שי"ז). וכ"כ נמי התשובות והנהגות (ח"ג סי' קפ"ג) שעצי האקליפטוס פסולים למצות ערבה. וכ"כ נמי בילקוט יוסף (מועדים ארבעת המינים עמ' רכ"ט), וע"ע בספר כשרות ארבעת המינים (שטרן עמ' קכ"ט) שדן בזה באורך.</w:t>
      </w:r>
    </w:p>
    <w:p w:rsidR="00111EF5" w:rsidRPr="007B43DE" w:rsidRDefault="00111EF5" w:rsidP="00703650">
      <w:pPr>
        <w:rPr>
          <w:rtl/>
        </w:rPr>
      </w:pPr>
      <w:r w:rsidRPr="007B43DE">
        <w:rPr>
          <w:rFonts w:hint="cs"/>
          <w:rtl/>
        </w:rPr>
        <w:t xml:space="preserve">והנה אחר בירור המציאות, נוכחתי לראות שהריח של עץ האקליפטוס אינו בא מן העלים עצמם, אלא יש כמין שורות של ענבים קטנים הצמודים לעלי האקליפטוס וכשפותחים אותם הם מפיצים ריח רע, ומשם בא הריח. אך מעצם הקנה והעלים אין שום ריח. וא"כ אף שמצינו במדרש שלערבה אין לא טעם ולא ריח, יש לומר שזהו דווקא שאין לעלים עצמם ריח, אך יכול שיהיה ריח חיצוני על ידי ענבים וכדו'. וראיה לדברינו דהנה בהדס הרי כתב במדרש שיש לו ריח ואין לו טעם, ולכאו' הא מצינו בגמ' סוכה (דף לג:) דאם הענבים מרובות מעליו שצריך להסירם, אך אסור להסירם ביו"ט. ובגמ' הקשו </w:t>
      </w:r>
      <w:r w:rsidR="00361558" w:rsidRPr="007B43DE">
        <w:rPr>
          <w:rFonts w:hint="cs"/>
          <w:rtl/>
        </w:rPr>
        <w:t>בעבר</w:t>
      </w:r>
      <w:r w:rsidRPr="007B43DE">
        <w:rPr>
          <w:rFonts w:hint="cs"/>
          <w:rtl/>
        </w:rPr>
        <w:t xml:space="preserve"> והסיר</w:t>
      </w:r>
      <w:r w:rsidR="00361558" w:rsidRPr="007B43DE">
        <w:rPr>
          <w:rFonts w:hint="cs"/>
          <w:rtl/>
        </w:rPr>
        <w:t>ם</w:t>
      </w:r>
      <w:r w:rsidRPr="007B43DE">
        <w:rPr>
          <w:rFonts w:hint="cs"/>
          <w:rtl/>
        </w:rPr>
        <w:t xml:space="preserve"> ביו"ט</w:t>
      </w:r>
      <w:r w:rsidR="00361558" w:rsidRPr="007B43DE">
        <w:rPr>
          <w:rFonts w:hint="cs"/>
          <w:rtl/>
        </w:rPr>
        <w:t xml:space="preserve"> מה דינו</w:t>
      </w:r>
      <w:r w:rsidRPr="007B43DE">
        <w:rPr>
          <w:rFonts w:hint="cs"/>
          <w:rtl/>
        </w:rPr>
        <w:t>,</w:t>
      </w:r>
      <w:r w:rsidR="00361558" w:rsidRPr="007B43DE">
        <w:rPr>
          <w:rFonts w:hint="cs"/>
          <w:rtl/>
        </w:rPr>
        <w:t xml:space="preserve"> וכו'.</w:t>
      </w:r>
      <w:r w:rsidRPr="007B43DE">
        <w:rPr>
          <w:rFonts w:hint="cs"/>
          <w:rtl/>
        </w:rPr>
        <w:t xml:space="preserve"> והסיקו </w:t>
      </w:r>
      <w:r w:rsidR="00F11DE1" w:rsidRPr="007B43DE">
        <w:rPr>
          <w:rFonts w:hint="cs"/>
          <w:rtl/>
        </w:rPr>
        <w:t xml:space="preserve">בגמ' </w:t>
      </w:r>
      <w:r w:rsidR="00E45D1F" w:rsidRPr="007B43DE">
        <w:rPr>
          <w:rFonts w:hint="cs"/>
          <w:rtl/>
        </w:rPr>
        <w:t>דאיירי במלקטן לאכילה</w:t>
      </w:r>
      <w:r w:rsidRPr="007B43DE">
        <w:rPr>
          <w:rFonts w:hint="cs"/>
          <w:rtl/>
        </w:rPr>
        <w:t xml:space="preserve">. מוכח דראויים ענבי ההדסים לאכילה ע"י בישול וכדו', וא"כ חזינן דבהדס איכא נמי ריח ונמי טעם. (ואף שיש לומר דכיון דאין רוב אנשים אוכלים ענבים הללו לא חשיבי כ"כ, </w:t>
      </w:r>
      <w:r w:rsidR="00E45D1F" w:rsidRPr="007B43DE">
        <w:rPr>
          <w:rFonts w:hint="cs"/>
          <w:rtl/>
        </w:rPr>
        <w:t>אמנם מ"מ</w:t>
      </w:r>
      <w:r w:rsidRPr="007B43DE">
        <w:rPr>
          <w:rFonts w:hint="cs"/>
          <w:rtl/>
        </w:rPr>
        <w:t xml:space="preserve"> מי יימר דתליא ברוב או מיעוט אוכלים, שמא קאי אי העץ מוציא דבר הראוי לאכילה. ואף אי נימא דכיון שכתב בשיבולי הלקט (סי' ק"ס) דברכת פירות אלו אין ברכתם העץ אלא שהכל משום שהם אילנות סרק, וכן משמע בשו"ע (סי' ר"ג ס"ה). [ועי' בפתח הדביר סי' ר"ג סק"ג במש"כ], מ"מ אף שברכתו שהכל </w:t>
      </w:r>
      <w:r w:rsidR="00E4027B" w:rsidRPr="007B43DE">
        <w:rPr>
          <w:rFonts w:hint="cs"/>
          <w:rtl/>
        </w:rPr>
        <w:t>הא</w:t>
      </w:r>
      <w:r w:rsidRPr="007B43DE">
        <w:rPr>
          <w:rFonts w:hint="cs"/>
          <w:rtl/>
        </w:rPr>
        <w:t xml:space="preserve"> חזינן שמברכין עליו ושפיר הוי דבר מאכל, דהטעם אינו תלוי בברכה, אלא במציאות אי ראוי לאכילה, והא ראוי). ועל כורחיך צ"ל דכוונת המדרש הוא דאתרוג בעצמותו הוא גם עם ריח וגם עם טעם, משא"כ ההדס שהעלים עצמם אינם ראויים לאכילה, ורק הענבים שגדלים עליו ראויים לאכילה, ולפי"ז נימא נמי באקליפטוס דאף שיש בו ריח מ"מ כיון דאין הריח בא מהקנה שלו ועליו, שפיר חשיב כאין בו ריח. וא"כ נימא שעץ האקליפטוס ממין עצי הערבה הוא.</w:t>
      </w:r>
      <w:r w:rsidR="00395338">
        <w:rPr>
          <w:rFonts w:hint="cs"/>
          <w:rtl/>
        </w:rPr>
        <w:t xml:space="preserve"> </w:t>
      </w:r>
      <w:r w:rsidRPr="007B43DE">
        <w:rPr>
          <w:rFonts w:hint="cs"/>
          <w:rtl/>
        </w:rPr>
        <w:t>אמנם מה שקשה בזה, דהא לולב כתב המדרש שיש בו טעם ואין בו ריח, והרי ודאי דאין עלי הלולב עצמם עם טעם, אלא התמרים הגדלים בעץ הלולב הם עם טעם. וא"כ צ"ע דממנ"פ אי דיינינן על גוף העץ עצמו אם יש בו טעם נימא נמי בהדס שיש בו טעם דהרי עצו עושה פרי. ואי נימא דדינינן על גוף הלולב עצמו הרי עצם הלולב לית ביה טעם כלל, וצ"ע. אמנם אחר כותבי כ"ז בדקתי שוב את עלי האקליפטוס ונוכחתי לראות שכשמקמטים את העלה כמה פעמים הוא מפיק מעט ריח, ושמא זוהי כוונת ההר צבי,</w:t>
      </w:r>
      <w:r w:rsidR="00395338">
        <w:rPr>
          <w:rFonts w:hint="cs"/>
          <w:rtl/>
        </w:rPr>
        <w:t xml:space="preserve"> </w:t>
      </w:r>
      <w:r w:rsidR="00E4027B" w:rsidRPr="007B43DE">
        <w:rPr>
          <w:rFonts w:hint="cs"/>
          <w:rtl/>
        </w:rPr>
        <w:t xml:space="preserve">וכן שמעתי שכשמסככין בעלי האקליפטוס יש בסוכה ריח חזק, ושמא זוהי כוונת ההר צבי. </w:t>
      </w:r>
      <w:r w:rsidRPr="007B43DE">
        <w:rPr>
          <w:rFonts w:hint="cs"/>
          <w:rtl/>
        </w:rPr>
        <w:t>וצ"ע. והנה בעיקר הטענה שעץ האקליפטוס אין דרכו לגדול על המים. יש להעיר קצת, דאדרבא הרי ידוע שעץ האקליפטוס טבעו לשתות הרבה מים ובכוחו לייבש ביצות גדולות מחמת כוח יניקתו בשתיית מים, וגם מצוי לרוב אקליפטוסים הגדלים על המים. אמנם מ"מ יש לומר דהכוונה במאמר רבותינו דערבה דרכה לגדול על המים, (חוץ מהפשט הפשוט הוא דכך דרכה) דעץ ערבה כשגודל על מים ניכר על עצו ועליו שינוי לטובה שנקיים יותר עליו ועציו מערבות אחרות שלא גדולות על מים, וגם המציאות מוכיחה שערבות שמשקים אותם יותר מערבות אחרות, מעולות יותר בטיבן ויופין, ומשא"כ עצים אחרים שאין להם מעליותא טפי בזה שגדלות על המים, וצ"ע.</w:t>
      </w:r>
      <w:r w:rsidR="007A7ECD" w:rsidRPr="007B43DE">
        <w:rPr>
          <w:rFonts w:hint="cs"/>
          <w:rtl/>
        </w:rPr>
        <w:t xml:space="preserve"> ומן הראוי להשגיח על הנערי</w:t>
      </w:r>
      <w:r w:rsidR="006E202B" w:rsidRPr="007B43DE">
        <w:rPr>
          <w:rFonts w:hint="cs"/>
          <w:rtl/>
        </w:rPr>
        <w:t>ם</w:t>
      </w:r>
      <w:r w:rsidR="007A7ECD" w:rsidRPr="007B43DE">
        <w:rPr>
          <w:rFonts w:hint="cs"/>
          <w:rtl/>
        </w:rPr>
        <w:t xml:space="preserve"> המוכרין ערבות, שיש חשש שלא יהי</w:t>
      </w:r>
      <w:r w:rsidR="006E202B" w:rsidRPr="007B43DE">
        <w:rPr>
          <w:rFonts w:hint="cs"/>
          <w:rtl/>
        </w:rPr>
        <w:t>ה זה</w:t>
      </w:r>
      <w:r w:rsidR="007A7ECD" w:rsidRPr="007B43DE">
        <w:rPr>
          <w:rFonts w:hint="cs"/>
          <w:rtl/>
        </w:rPr>
        <w:t xml:space="preserve"> מעצי האקליפטוס. ו</w:t>
      </w:r>
      <w:r w:rsidR="002D1628" w:rsidRPr="007B43DE">
        <w:rPr>
          <w:rFonts w:hint="cs"/>
          <w:rtl/>
        </w:rPr>
        <w:t>כמו ש</w:t>
      </w:r>
      <w:r w:rsidR="007A7ECD" w:rsidRPr="007B43DE">
        <w:rPr>
          <w:rFonts w:hint="cs"/>
          <w:rtl/>
        </w:rPr>
        <w:t xml:space="preserve">סיפר לי ת"ח גדול, שכשהיה ילד קטן הביא לאביו ולב"ב למצות ערבה </w:t>
      </w:r>
      <w:r w:rsidR="002D1628" w:rsidRPr="007B43DE">
        <w:rPr>
          <w:rFonts w:hint="cs"/>
          <w:rtl/>
        </w:rPr>
        <w:t xml:space="preserve">בדים </w:t>
      </w:r>
      <w:r w:rsidR="007A7ECD" w:rsidRPr="007B43DE">
        <w:rPr>
          <w:rFonts w:hint="cs"/>
          <w:rtl/>
        </w:rPr>
        <w:t>מעץ הא</w:t>
      </w:r>
      <w:r w:rsidR="002D1628" w:rsidRPr="007B43DE">
        <w:rPr>
          <w:rFonts w:hint="cs"/>
          <w:rtl/>
        </w:rPr>
        <w:t>קליפטוס, משום שחשב שזהו עץ ערבה.</w:t>
      </w:r>
      <w:r w:rsidR="007A7ECD" w:rsidRPr="007B43DE">
        <w:rPr>
          <w:rFonts w:hint="cs"/>
          <w:rtl/>
        </w:rPr>
        <w:t xml:space="preserve"> ורק אחר כמה ימים בחג גילו שאי"ז ערבה, ובירכו ברכה לבטלה. לכן מן הראוי ליזהר בזה. וכבר כתב ע"</w:t>
      </w:r>
      <w:r w:rsidR="006E202B" w:rsidRPr="007B43DE">
        <w:rPr>
          <w:rFonts w:hint="cs"/>
          <w:rtl/>
        </w:rPr>
        <w:t>ז</w:t>
      </w:r>
      <w:r w:rsidR="007A7ECD" w:rsidRPr="007B43DE">
        <w:rPr>
          <w:rFonts w:hint="cs"/>
          <w:rtl/>
        </w:rPr>
        <w:t xml:space="preserve"> המשנ"ב (תרמ"ז ס"ק </w:t>
      </w:r>
      <w:r w:rsidR="006E202B" w:rsidRPr="007B43DE">
        <w:rPr>
          <w:rFonts w:hint="cs"/>
          <w:rtl/>
        </w:rPr>
        <w:t>ו').</w:t>
      </w:r>
    </w:p>
  </w:footnote>
  <w:footnote w:id="7">
    <w:p w:rsidR="002F4CE7" w:rsidRPr="007B43DE" w:rsidRDefault="00F153EC" w:rsidP="00703650">
      <w:pPr>
        <w:rPr>
          <w:rtl/>
        </w:rPr>
      </w:pPr>
      <w:r w:rsidRPr="007B43DE">
        <w:footnoteRef/>
      </w:r>
      <w:r w:rsidRPr="007B43DE">
        <w:rPr>
          <w:rtl/>
        </w:rPr>
        <w:t xml:space="preserve"> </w:t>
      </w:r>
      <w:r w:rsidRPr="007B43DE">
        <w:rPr>
          <w:rFonts w:hint="cs"/>
          <w:rtl/>
        </w:rPr>
        <w:t>בגמ'</w:t>
      </w:r>
      <w:r w:rsidR="00F8076E" w:rsidRPr="007B43DE">
        <w:rPr>
          <w:rFonts w:hint="cs"/>
          <w:rtl/>
        </w:rPr>
        <w:t xml:space="preserve"> </w:t>
      </w:r>
      <w:r w:rsidR="00C95F3E" w:rsidRPr="007B43DE">
        <w:rPr>
          <w:rFonts w:hint="cs"/>
          <w:rtl/>
        </w:rPr>
        <w:t>סוכה (דף לב:)</w:t>
      </w:r>
      <w:r w:rsidRPr="007B43DE">
        <w:rPr>
          <w:rFonts w:hint="cs"/>
          <w:rtl/>
        </w:rPr>
        <w:t xml:space="preserve"> </w:t>
      </w:r>
      <w:r w:rsidR="00DB4E18" w:rsidRPr="007B43DE">
        <w:rPr>
          <w:rFonts w:hint="cs"/>
          <w:rtl/>
        </w:rPr>
        <w:t>"שיעור הדס וערבה שלושה</w:t>
      </w:r>
      <w:r w:rsidR="001041EF" w:rsidRPr="007B43DE">
        <w:rPr>
          <w:rFonts w:hint="cs"/>
          <w:rtl/>
        </w:rPr>
        <w:t>,</w:t>
      </w:r>
      <w:r w:rsidR="00DB4E18" w:rsidRPr="007B43DE">
        <w:rPr>
          <w:rFonts w:hint="cs"/>
          <w:rtl/>
        </w:rPr>
        <w:t xml:space="preserve"> ולולב ארבעה. ר' טרפון אומר באמה בת חמשה טפחים... כי אתא רבין אמר אמה בת חמשה טפחים עשה אותה ששה, צא מהן שלושה להדס והשאר ללולב. אמר רב הונא אמר שמואל הלכה כר' טרפון". ובטור (סי' תר"נ) כתב "שיעור הדס וערבה ש</w:t>
      </w:r>
      <w:r w:rsidR="009316C9" w:rsidRPr="007B43DE">
        <w:rPr>
          <w:rFonts w:hint="cs"/>
          <w:rtl/>
        </w:rPr>
        <w:t>נ</w:t>
      </w:r>
      <w:r w:rsidR="00DB4E18" w:rsidRPr="007B43DE">
        <w:rPr>
          <w:rFonts w:hint="cs"/>
          <w:rtl/>
        </w:rPr>
        <w:t>י טפחים וחצי שהן עשרה גודל</w:t>
      </w:r>
      <w:r w:rsidR="001041EF" w:rsidRPr="007B43DE">
        <w:rPr>
          <w:rFonts w:hint="cs"/>
          <w:rtl/>
        </w:rPr>
        <w:t xml:space="preserve">ין". ובב"י הביא דברי הגמ' הנ"ל, </w:t>
      </w:r>
      <w:r w:rsidR="00946E58" w:rsidRPr="007B43DE">
        <w:rPr>
          <w:rFonts w:hint="cs"/>
          <w:rtl/>
        </w:rPr>
        <w:t>וציין לדברי הרמב"ם דס"ל דבעי' שלושה טפחים דווקא, אמנם הראב"ד פליג עליה</w:t>
      </w:r>
      <w:r w:rsidR="001041EF" w:rsidRPr="007B43DE">
        <w:rPr>
          <w:rFonts w:hint="cs"/>
          <w:rtl/>
        </w:rPr>
        <w:t>, וכ"כ הרא"ש והר"ן</w:t>
      </w:r>
      <w:r w:rsidR="00946E58" w:rsidRPr="007B43DE">
        <w:rPr>
          <w:rFonts w:hint="cs"/>
          <w:rtl/>
        </w:rPr>
        <w:t>. ובשולחנו הטהור כתב "</w:t>
      </w:r>
      <w:r w:rsidR="00B34744" w:rsidRPr="007B43DE">
        <w:rPr>
          <w:rFonts w:hint="cs"/>
          <w:rtl/>
        </w:rPr>
        <w:t xml:space="preserve">שיעור הדס וערבה ג' טפחים, ושדרו של לולב ד' טפחים כדי שיהיה שדרו של לולב יוצא מן ההדס טפח. באמה בת חמשה טפחים עשה אותה ו', צא מהן </w:t>
      </w:r>
      <w:r w:rsidR="00855C6B" w:rsidRPr="007B43DE">
        <w:rPr>
          <w:rFonts w:hint="cs"/>
          <w:rtl/>
        </w:rPr>
        <w:t>ג' להדס נמצא שיעור הדס וערבה טפחיים ומחצה</w:t>
      </w:r>
      <w:r w:rsidR="00AA47B5" w:rsidRPr="007B43DE">
        <w:rPr>
          <w:rFonts w:hint="cs"/>
          <w:rtl/>
        </w:rPr>
        <w:t xml:space="preserve"> </w:t>
      </w:r>
      <w:r w:rsidR="00855C6B" w:rsidRPr="007B43DE">
        <w:rPr>
          <w:rFonts w:hint="cs"/>
          <w:rtl/>
        </w:rPr>
        <w:t xml:space="preserve">שהם י' גודלין... ויש אומרים ששיעור הדס וערבה י"ב גודלין ושדרו של לולב ט"ז גודלין". וברמ"א הוסיף "וכן נוהגין לכתחילה". </w:t>
      </w:r>
      <w:r w:rsidR="001041EF" w:rsidRPr="007B43DE">
        <w:rPr>
          <w:rFonts w:hint="cs"/>
          <w:rtl/>
        </w:rPr>
        <w:t>[</w:t>
      </w:r>
      <w:r w:rsidR="007F2F10" w:rsidRPr="007B43DE">
        <w:rPr>
          <w:rFonts w:hint="cs"/>
          <w:rtl/>
        </w:rPr>
        <w:t>וצ"ע קצת אמאי פסק השו"ע</w:t>
      </w:r>
      <w:r w:rsidR="0046407A" w:rsidRPr="007B43DE">
        <w:rPr>
          <w:rFonts w:hint="cs"/>
          <w:rtl/>
        </w:rPr>
        <w:t>,</w:t>
      </w:r>
      <w:r w:rsidR="007F2F10" w:rsidRPr="007B43DE">
        <w:rPr>
          <w:rFonts w:hint="cs"/>
          <w:rtl/>
        </w:rPr>
        <w:t xml:space="preserve"> כהרא"ש והטור</w:t>
      </w:r>
      <w:r w:rsidR="00C95F3E" w:rsidRPr="007B43DE">
        <w:rPr>
          <w:rFonts w:hint="cs"/>
          <w:rtl/>
        </w:rPr>
        <w:t xml:space="preserve"> </w:t>
      </w:r>
      <w:r w:rsidR="00AA47B5" w:rsidRPr="007B43DE">
        <w:rPr>
          <w:rFonts w:hint="cs"/>
          <w:rtl/>
        </w:rPr>
        <w:t>דסגי בטפחיים ומחצה, דהרי הרי"ף והרמב"ם פשטות דבריהם הוא דבעי' שלושה טפחים גמורים, ואמאי שביק לב' עמודי הוראה ופסק כחד, ויש ליישב</w:t>
      </w:r>
      <w:r w:rsidR="001041EF" w:rsidRPr="007B43DE">
        <w:rPr>
          <w:rFonts w:hint="cs"/>
          <w:rtl/>
        </w:rPr>
        <w:t>]</w:t>
      </w:r>
      <w:r w:rsidR="00AA47B5" w:rsidRPr="007B43DE">
        <w:rPr>
          <w:rFonts w:hint="cs"/>
          <w:rtl/>
        </w:rPr>
        <w:t>. והנה ידועה מכבר פלוגתת האחרונים בסתם ויש שכתב מרן</w:t>
      </w:r>
      <w:r w:rsidR="0046407A" w:rsidRPr="007B43DE">
        <w:rPr>
          <w:rFonts w:hint="cs"/>
          <w:rtl/>
        </w:rPr>
        <w:t>,</w:t>
      </w:r>
      <w:r w:rsidR="00AA47B5" w:rsidRPr="007B43DE">
        <w:rPr>
          <w:rFonts w:hint="cs"/>
          <w:rtl/>
        </w:rPr>
        <w:t xml:space="preserve"> אי כתב היש כדי לכבדו אך לא היה בדעתו לפסוק כמותו, או דילמא שכתב דעת היש כדי לחוש לדבריו לכתחילה. והאריכו בזה האחרונים. ודין זה נפק"מ לדידן </w:t>
      </w:r>
      <w:r w:rsidR="002E0C69" w:rsidRPr="007B43DE">
        <w:rPr>
          <w:rFonts w:hint="cs"/>
          <w:rtl/>
        </w:rPr>
        <w:t xml:space="preserve">בשיעור אורך הערבה. </w:t>
      </w:r>
      <w:r w:rsidR="001041EF" w:rsidRPr="007B43DE">
        <w:rPr>
          <w:rFonts w:hint="cs"/>
          <w:rtl/>
        </w:rPr>
        <w:t xml:space="preserve">דמרן בשו"ע הביא כאן סתם ויש. </w:t>
      </w:r>
      <w:r w:rsidR="002E0C69" w:rsidRPr="007B43DE">
        <w:rPr>
          <w:rFonts w:hint="cs"/>
          <w:rtl/>
        </w:rPr>
        <w:t>ולהלכה מצינו למרן זצוק"ל בספרו חזו"ע (עמ' שס"ב) ולבנו הראשל"צ בילקו"י (מועדים, ארבעת המינים עמ' קנ"ח) שכתבו דסגי' ב20 ס"מ שהוא שיעור של שלושה טפחים באמה בת חמשה טפחים, והוי כטפחיים ומחצה.</w:t>
      </w:r>
      <w:r w:rsidR="00282ECD" w:rsidRPr="007B43DE">
        <w:rPr>
          <w:rFonts w:hint="cs"/>
          <w:rtl/>
        </w:rPr>
        <w:t xml:space="preserve"> ורק לכתחילה</w:t>
      </w:r>
      <w:r w:rsidR="00395338">
        <w:rPr>
          <w:rFonts w:hint="cs"/>
          <w:rtl/>
        </w:rPr>
        <w:t xml:space="preserve"> </w:t>
      </w:r>
      <w:r w:rsidR="00E70C7F" w:rsidRPr="007B43DE">
        <w:rPr>
          <w:rFonts w:hint="cs"/>
          <w:rtl/>
        </w:rPr>
        <w:t xml:space="preserve">היכא דיכול </w:t>
      </w:r>
      <w:r w:rsidR="00282ECD" w:rsidRPr="007B43DE">
        <w:rPr>
          <w:rFonts w:hint="cs"/>
          <w:rtl/>
        </w:rPr>
        <w:t xml:space="preserve">יהדר </w:t>
      </w:r>
      <w:r w:rsidR="008F64D4" w:rsidRPr="007B43DE">
        <w:rPr>
          <w:rFonts w:hint="cs"/>
          <w:rtl/>
        </w:rPr>
        <w:t xml:space="preserve">ליקח 24 ס"מ. </w:t>
      </w:r>
      <w:r w:rsidR="00E70C7F" w:rsidRPr="007B43DE">
        <w:rPr>
          <w:rFonts w:hint="cs"/>
          <w:rtl/>
        </w:rPr>
        <w:t>אמנם הרב אור לציון זצוק"ל בספרו (ח"ד עמ' ר"ב, ועמ' ר"ז) כתב דיש להחמיר וליקח באורך של 30 ס"מ, גם לחוש לדעת הי"א, וגם לחוש לסוברים דטפח הוא עשרה ס"מ, ואע"ג שמעיקר הדין סגי בטפח של 8 ס"מ, מ"מ בשל תורה (עכ"פ ביו"ט ראשון) טוב להחמיר ולצאת ידי חובת כל הדיעות. [איברא שעצם דין זה שהשיעור של הדס וערבה הוא מדאו', אינו מוסכם לכו"ע. דהקרית ספר (הלכות לולב פ"ז) כתב דהוא מדאורייתא, וכ"כ להדיא הלבוש (ס"א) שהם בכלל מה שאמרו שיעורין הללמ"מ. אך הערוך לנר (נדה כו:) כתב שהשיעור הוא רק מדרבנן].</w:t>
      </w:r>
      <w:r w:rsidR="00864D97" w:rsidRPr="007B43DE">
        <w:rPr>
          <w:rFonts w:hint="cs"/>
          <w:rtl/>
        </w:rPr>
        <w:t xml:space="preserve"> ונהרא נהרא ופשטיה. והנה בזמנינו אכשר דרא ובנקל אפשר להשיג ערבות בשיעור של 24 ס"מ, </w:t>
      </w:r>
      <w:r w:rsidR="009516AB" w:rsidRPr="007B43DE">
        <w:rPr>
          <w:rFonts w:hint="cs"/>
          <w:rtl/>
        </w:rPr>
        <w:t xml:space="preserve">ומן הראוי </w:t>
      </w:r>
      <w:r w:rsidR="00864D97" w:rsidRPr="007B43DE">
        <w:rPr>
          <w:rFonts w:hint="cs"/>
          <w:rtl/>
        </w:rPr>
        <w:t>שישתדל להשיג בשיעור זה.</w:t>
      </w:r>
    </w:p>
  </w:footnote>
  <w:footnote w:id="8">
    <w:p w:rsidR="009C1C6D" w:rsidRPr="007B43DE" w:rsidRDefault="002F4CE7" w:rsidP="00703650">
      <w:pPr>
        <w:rPr>
          <w:rtl/>
        </w:rPr>
      </w:pPr>
      <w:r w:rsidRPr="007B43DE">
        <w:footnoteRef/>
      </w:r>
      <w:r w:rsidRPr="007B43DE">
        <w:rPr>
          <w:rtl/>
        </w:rPr>
        <w:t xml:space="preserve"> </w:t>
      </w:r>
      <w:r w:rsidRPr="007B43DE">
        <w:rPr>
          <w:rFonts w:hint="cs"/>
          <w:rtl/>
        </w:rPr>
        <w:t xml:space="preserve">הנה לא </w:t>
      </w:r>
      <w:r w:rsidR="009516AB" w:rsidRPr="007B43DE">
        <w:rPr>
          <w:rFonts w:hint="cs"/>
          <w:rtl/>
        </w:rPr>
        <w:t xml:space="preserve">נתבאר להדיא בשו"ע אופן המדידה, ומצינו להרב פרי מגדים (סימן תר"נ סק"א) שכתב "שיעור הדס וערבה ג"ט אם בהדי ענפים קטנים, או קלח שלו דווקא ג"ט, ומכ"ש שאין עליו מצטרפין לג"ט, ומספיקא בעינן קלח שלו ג"ט". אמנם המשנ"ב (תר"נ סק"א) ציין להריטב"א, </w:t>
      </w:r>
      <w:r w:rsidR="006C7757" w:rsidRPr="007B43DE">
        <w:rPr>
          <w:rFonts w:hint="cs"/>
          <w:rtl/>
        </w:rPr>
        <w:t>ש</w:t>
      </w:r>
      <w:r w:rsidR="009516AB" w:rsidRPr="007B43DE">
        <w:rPr>
          <w:rFonts w:hint="cs"/>
          <w:rtl/>
        </w:rPr>
        <w:t xml:space="preserve">כתב "ואם העלים שלהם יוצאים למעלה מן העץ, צריך שיהיה בעצם העץ שיעור זה". </w:t>
      </w:r>
      <w:r w:rsidR="006C7757" w:rsidRPr="007B43DE">
        <w:rPr>
          <w:rFonts w:hint="cs"/>
          <w:rtl/>
        </w:rPr>
        <w:t>(</w:t>
      </w:r>
      <w:r w:rsidR="00EE1269" w:rsidRPr="007B43DE">
        <w:rPr>
          <w:rFonts w:hint="cs"/>
          <w:rtl/>
        </w:rPr>
        <w:t>ועי' בשעה"צ שציין להפמ"ג הנ"ל שהסתפק בזה. והוסיף שהביכורי יעקב האריך בזה</w:t>
      </w:r>
      <w:r w:rsidR="006C7757" w:rsidRPr="007B43DE">
        <w:rPr>
          <w:rFonts w:hint="cs"/>
          <w:rtl/>
        </w:rPr>
        <w:t>)</w:t>
      </w:r>
      <w:r w:rsidR="00EE1269" w:rsidRPr="007B43DE">
        <w:rPr>
          <w:rFonts w:hint="cs"/>
          <w:rtl/>
        </w:rPr>
        <w:t xml:space="preserve">. </w:t>
      </w:r>
      <w:r w:rsidR="004C232D" w:rsidRPr="007B43DE">
        <w:rPr>
          <w:rFonts w:hint="cs"/>
          <w:rtl/>
        </w:rPr>
        <w:t>ועי' בספר ארבעת המינים למהדרין (עדס עמ' קי"ח</w:t>
      </w:r>
      <w:r w:rsidR="006465F3" w:rsidRPr="007B43DE">
        <w:rPr>
          <w:rFonts w:hint="cs"/>
          <w:rtl/>
        </w:rPr>
        <w:t>)</w:t>
      </w:r>
      <w:r w:rsidR="004C232D" w:rsidRPr="007B43DE">
        <w:rPr>
          <w:rFonts w:hint="cs"/>
          <w:rtl/>
        </w:rPr>
        <w:t xml:space="preserve"> מה</w:t>
      </w:r>
      <w:r w:rsidR="006465F3" w:rsidRPr="007B43DE">
        <w:rPr>
          <w:rFonts w:hint="cs"/>
          <w:rtl/>
        </w:rPr>
        <w:t xml:space="preserve"> שכתב בשם הגר"נ קרליץ שליט"א</w:t>
      </w:r>
      <w:r w:rsidR="006C7757" w:rsidRPr="007B43DE">
        <w:rPr>
          <w:rFonts w:hint="cs"/>
          <w:rtl/>
        </w:rPr>
        <w:t xml:space="preserve"> בזה,</w:t>
      </w:r>
      <w:r w:rsidR="004C232D" w:rsidRPr="007B43DE">
        <w:rPr>
          <w:rFonts w:hint="cs"/>
          <w:rtl/>
        </w:rPr>
        <w:t xml:space="preserve"> ודו"ק.</w:t>
      </w:r>
    </w:p>
  </w:footnote>
  <w:footnote w:id="9">
    <w:p w:rsidR="005A5BCD" w:rsidRPr="007B43DE" w:rsidRDefault="009C1C6D" w:rsidP="00703650">
      <w:pPr>
        <w:rPr>
          <w:rtl/>
        </w:rPr>
      </w:pPr>
      <w:r w:rsidRPr="007B43DE">
        <w:footnoteRef/>
      </w:r>
      <w:r w:rsidRPr="007B43DE">
        <w:rPr>
          <w:rFonts w:hint="cs"/>
          <w:rtl/>
        </w:rPr>
        <w:t xml:space="preserve"> במתני' </w:t>
      </w:r>
      <w:r w:rsidR="00BD3334" w:rsidRPr="007B43DE">
        <w:rPr>
          <w:rFonts w:hint="cs"/>
          <w:rtl/>
        </w:rPr>
        <w:t>ד</w:t>
      </w:r>
      <w:r w:rsidRPr="007B43DE">
        <w:rPr>
          <w:rFonts w:hint="cs"/>
          <w:rtl/>
        </w:rPr>
        <w:t xml:space="preserve">סוכה (דף לג:) "ערבה גזולה ויבשה פסולה, של אשרה ושל עיר הנדחת פסולה, נקטם ראשה, נפרצו עליה... פסולה". ובראב"ד (הלכות לולב) כתב דנקטם ראשה היינו שנקטם ראש העץ של הערבה. וכ"כ נמי התמים דעים (סי' רל"א), והביאו המג"א (תרמ"ז סק"ב). וכ"כ נמי הכנסת הגדולה (בהגהות הטור שם), ובאליה רבה (סק"ו), ובגר"ז (סק"ד), ובחיי אדם. וכ"כ נמי המשנ"ב (סק"י) לדינא. והוסיף המשנ"ב שאם נקטם עליה כשרה וחשיבא כשאר עלין. </w:t>
      </w:r>
      <w:r w:rsidR="004316BC" w:rsidRPr="007B43DE">
        <w:rPr>
          <w:rFonts w:hint="cs"/>
          <w:rtl/>
        </w:rPr>
        <w:t>וכ"כ</w:t>
      </w:r>
      <w:r w:rsidR="00395338">
        <w:rPr>
          <w:rFonts w:hint="cs"/>
          <w:rtl/>
        </w:rPr>
        <w:t xml:space="preserve"> </w:t>
      </w:r>
      <w:r w:rsidRPr="007B43DE">
        <w:rPr>
          <w:rFonts w:hint="cs"/>
          <w:rtl/>
        </w:rPr>
        <w:t>הכף החיים (סקט"ו). וכ"כ נמי מרן זצוק"ל בספרו חזו"ע (עמ' שי"ז), וכ"כ נמי ה</w:t>
      </w:r>
      <w:r w:rsidR="005433FB" w:rsidRPr="007B43DE">
        <w:rPr>
          <w:rFonts w:hint="cs"/>
          <w:rtl/>
        </w:rPr>
        <w:t xml:space="preserve">רב </w:t>
      </w:r>
      <w:r w:rsidRPr="007B43DE">
        <w:rPr>
          <w:rFonts w:hint="cs"/>
          <w:rtl/>
        </w:rPr>
        <w:t xml:space="preserve">ילקו"י (מועדים, ארבעת המינים עמ' רל"ה). והנה ידוע ששיטת הרמב"ם להכשיר הדס וערבה שנקטם ראשם, </w:t>
      </w:r>
      <w:r w:rsidR="00EB50A1" w:rsidRPr="007B43DE">
        <w:rPr>
          <w:rFonts w:hint="cs"/>
          <w:rtl/>
        </w:rPr>
        <w:t>ובביאור דבריו כתבנו</w:t>
      </w:r>
      <w:r w:rsidRPr="007B43DE">
        <w:rPr>
          <w:rFonts w:hint="cs"/>
          <w:rtl/>
        </w:rPr>
        <w:t xml:space="preserve"> בס"ד </w:t>
      </w:r>
      <w:r w:rsidR="00EB50A1" w:rsidRPr="007B43DE">
        <w:rPr>
          <w:rFonts w:hint="cs"/>
          <w:rtl/>
        </w:rPr>
        <w:t xml:space="preserve">בזה </w:t>
      </w:r>
      <w:r w:rsidR="00703650">
        <w:rPr>
          <w:rFonts w:hint="cs"/>
          <w:rtl/>
        </w:rPr>
        <w:t>בסוף הספר, עיי"ש.</w:t>
      </w:r>
    </w:p>
  </w:footnote>
  <w:footnote w:id="10">
    <w:p w:rsidR="00FA5DEA" w:rsidRPr="007B43DE" w:rsidRDefault="005A5BCD" w:rsidP="00703650">
      <w:pPr>
        <w:rPr>
          <w:rtl/>
        </w:rPr>
      </w:pPr>
      <w:r w:rsidRPr="007B43DE">
        <w:footnoteRef/>
      </w:r>
      <w:r w:rsidRPr="007B43DE">
        <w:rPr>
          <w:rtl/>
        </w:rPr>
        <w:t xml:space="preserve"> </w:t>
      </w:r>
      <w:r w:rsidRPr="007B43DE">
        <w:rPr>
          <w:rFonts w:hint="cs"/>
          <w:rtl/>
        </w:rPr>
        <w:t>מצינו למרן הב"י</w:t>
      </w:r>
      <w:r w:rsidR="00395338">
        <w:rPr>
          <w:rFonts w:hint="cs"/>
          <w:rtl/>
        </w:rPr>
        <w:t xml:space="preserve"> </w:t>
      </w:r>
      <w:r w:rsidR="002C442D" w:rsidRPr="007B43DE">
        <w:rPr>
          <w:rFonts w:hint="cs"/>
          <w:rtl/>
        </w:rPr>
        <w:t xml:space="preserve">(סי' תרמ"ז) שכתב דנקטם ראשה הפסול הוא משום שע"י הקטימה נפגם הדרה של הערבה. ולפי"ז לכאו' יש לדון דנראה דתליא בפלוגתא האם יש להחמיר לפסול בחסרון הדר בשאר ימי החג או לא. דהנה </w:t>
      </w:r>
      <w:r w:rsidR="0040394A" w:rsidRPr="007B43DE">
        <w:rPr>
          <w:rFonts w:hint="cs"/>
          <w:rtl/>
        </w:rPr>
        <w:t>בשו"ע (סי' תרמ"ט סעי' ה') כתב</w:t>
      </w:r>
      <w:r w:rsidR="002C442D" w:rsidRPr="007B43DE">
        <w:rPr>
          <w:rFonts w:hint="cs"/>
          <w:rtl/>
        </w:rPr>
        <w:t xml:space="preserve"> </w:t>
      </w:r>
      <w:r w:rsidR="0040394A" w:rsidRPr="007B43DE">
        <w:rPr>
          <w:rFonts w:hint="cs"/>
          <w:rtl/>
        </w:rPr>
        <w:t>"</w:t>
      </w:r>
      <w:r w:rsidR="004316BC" w:rsidRPr="007B43DE">
        <w:rPr>
          <w:rFonts w:hint="cs"/>
          <w:rtl/>
        </w:rPr>
        <w:t>כל</w:t>
      </w:r>
      <w:r w:rsidR="00395338">
        <w:rPr>
          <w:rFonts w:hint="cs"/>
          <w:rtl/>
        </w:rPr>
        <w:t xml:space="preserve"> </w:t>
      </w:r>
      <w:r w:rsidR="004316BC" w:rsidRPr="007B43DE">
        <w:rPr>
          <w:rFonts w:hint="cs"/>
          <w:rtl/>
        </w:rPr>
        <w:t>אלו שאמרנו שהם פוסלין מפני מומין שביארנו, או מ</w:t>
      </w:r>
      <w:r w:rsidR="002839FB" w:rsidRPr="007B43DE">
        <w:rPr>
          <w:rFonts w:hint="cs"/>
          <w:rtl/>
        </w:rPr>
        <w:t>פני גזל וגניבה, ביו"ט</w:t>
      </w:r>
      <w:r w:rsidR="004316BC" w:rsidRPr="007B43DE">
        <w:t xml:space="preserve"> </w:t>
      </w:r>
      <w:r w:rsidR="004316BC" w:rsidRPr="007B43DE">
        <w:rPr>
          <w:rFonts w:hint="cs"/>
          <w:rtl/>
        </w:rPr>
        <w:t>הראשון בלבד, אבל בשאר ימים הכל כשר".</w:t>
      </w:r>
      <w:r w:rsidR="00214444" w:rsidRPr="007B43DE">
        <w:rPr>
          <w:rFonts w:hint="cs"/>
          <w:rtl/>
        </w:rPr>
        <w:t xml:space="preserve"> </w:t>
      </w:r>
      <w:r w:rsidR="00F07E27" w:rsidRPr="007B43DE">
        <w:rPr>
          <w:rFonts w:hint="cs"/>
          <w:rtl/>
        </w:rPr>
        <w:t xml:space="preserve">וכ"כ הרמב"ם (לולב פ"ח ה"ט). מבואר מדבריהם דליכא חסרון במה שאינו הדר בשאר ימים. אמנם הרמ"א כתב "אבל אם </w:t>
      </w:r>
      <w:r w:rsidR="00CF142B" w:rsidRPr="007B43DE">
        <w:rPr>
          <w:rFonts w:hint="cs"/>
          <w:rtl/>
        </w:rPr>
        <w:t>היה יבש או מנומר שפסול כל שבעה ימים, אף אם חתך היבשות או הנימור פסול כל שבעה", ובסו"ד כתב "וחזזית פוסלת כל שבעה". משמע דפסל כ</w:t>
      </w:r>
      <w:r w:rsidR="00A92403" w:rsidRPr="007B43DE">
        <w:rPr>
          <w:rFonts w:hint="cs"/>
          <w:rtl/>
        </w:rPr>
        <w:t>ל</w:t>
      </w:r>
      <w:r w:rsidR="00CF142B" w:rsidRPr="007B43DE">
        <w:rPr>
          <w:rFonts w:hint="cs"/>
          <w:rtl/>
        </w:rPr>
        <w:t xml:space="preserve"> שבעה מנומר ויבש שהם חסרון בהדר, וכמו שכתב הגר"א (שם), ובמטה יהודה</w:t>
      </w:r>
      <w:r w:rsidR="00F07E27" w:rsidRPr="007B43DE">
        <w:rPr>
          <w:rFonts w:hint="cs"/>
          <w:rtl/>
        </w:rPr>
        <w:t xml:space="preserve"> </w:t>
      </w:r>
      <w:r w:rsidR="00CF142B" w:rsidRPr="007B43DE">
        <w:rPr>
          <w:rFonts w:hint="cs"/>
          <w:rtl/>
        </w:rPr>
        <w:t>(סק"ג), ובמאמר מרדכי (סקי"ב), וכ"כ נמי המשנ"ב (סקמ"ח) וז"</w:t>
      </w:r>
      <w:r w:rsidR="005D681C" w:rsidRPr="007B43DE">
        <w:rPr>
          <w:rFonts w:hint="cs"/>
          <w:rtl/>
        </w:rPr>
        <w:t xml:space="preserve">ל "וחזזית פוסלת וכו', זהו רק לדעת המחמירים בהדר כל שבעה, אבל לדעת המחבר שהעתיק לשון הרמב"ם, גם בהדר אינו פוסל אלא ביום ראשון בלבד, והוה ליה (להרמ"א) לכתוב וי"א, אלא שכן דרכו בכמה מקומות. וכן מה שכתב בהגה למעלה, אבל יבש או מנומר שפסול כל שבעה, הוא גם כן אזיל לשיטתו שמחמיר בהדר כל שבעה, אבל לדעת המחבר שהעתיק לשון הרמב"ם, גם ביבש או מנומר אינו פסול אלא ביום ראשון בלבד", ע"כ. </w:t>
      </w:r>
      <w:r w:rsidR="005433FB" w:rsidRPr="007B43DE">
        <w:rPr>
          <w:rFonts w:hint="cs"/>
          <w:rtl/>
        </w:rPr>
        <w:t xml:space="preserve">מתבאר עד כה דדעת הרמב"ם והשו"ע דבשאר ימים ליכא </w:t>
      </w:r>
      <w:r w:rsidR="00DA2E0B" w:rsidRPr="007B43DE">
        <w:rPr>
          <w:rFonts w:hint="cs"/>
          <w:rtl/>
        </w:rPr>
        <w:t>חסרון בהדר</w:t>
      </w:r>
      <w:r w:rsidR="005433FB" w:rsidRPr="007B43DE">
        <w:rPr>
          <w:rFonts w:hint="cs"/>
          <w:rtl/>
        </w:rPr>
        <w:t xml:space="preserve"> וכשר אף לכתחילה, ויכול אף לברך. וודאי דמודו דלמצוה מן המובחר היכא דיכול שיטול דבר שאין בו חסרון בהדר, אך מ"מ לכתחילה ס"ל דבחסרון הדר יכול לצאת. מאידך מצינו להרא"ש (סוכה פ"ג סי' ג') שהוכיח מהגמ' בסוכה דבעי' הדר כל שבעה, עיי"ש. ואחריו צעד הרמ"א. ועי' בשעה"צ (סקנ"ג) שכתב דהט"ז (סק"ט) והאליה רבה (ס"ט) כתבו בסתמ</w:t>
      </w:r>
      <w:r w:rsidR="002C1E76" w:rsidRPr="007B43DE">
        <w:rPr>
          <w:rFonts w:hint="cs"/>
          <w:rtl/>
        </w:rPr>
        <w:t>א לסמוך על הרמב"ם והשו"ע. אבל ה</w:t>
      </w:r>
      <w:r w:rsidR="005433FB" w:rsidRPr="007B43DE">
        <w:rPr>
          <w:rFonts w:hint="cs"/>
          <w:rtl/>
        </w:rPr>
        <w:t>גר"ז (ס"ט</w:t>
      </w:r>
      <w:r w:rsidR="002C1E76" w:rsidRPr="007B43DE">
        <w:rPr>
          <w:rFonts w:hint="cs"/>
          <w:rtl/>
        </w:rPr>
        <w:t>)</w:t>
      </w:r>
      <w:r w:rsidR="005433FB" w:rsidRPr="007B43DE">
        <w:rPr>
          <w:rFonts w:hint="cs"/>
          <w:rtl/>
        </w:rPr>
        <w:t>, והחיי אדם (כלל קנ"א ס"ה) הזכירו דרק בשעת הדחק יכול לסמוך על דעת הרמב"ם והשו"ע, וטעמם הוא משום דהמג"א בסימן תרמ"ה (סק"ו), ותרמ"ו (סק"ד) כתב דבה</w:t>
      </w:r>
      <w:r w:rsidR="002B3DAD" w:rsidRPr="007B43DE">
        <w:rPr>
          <w:rFonts w:hint="cs"/>
          <w:rtl/>
        </w:rPr>
        <w:t>ד</w:t>
      </w:r>
      <w:r w:rsidR="005433FB" w:rsidRPr="007B43DE">
        <w:rPr>
          <w:rFonts w:hint="cs"/>
          <w:rtl/>
        </w:rPr>
        <w:t>ר פסול כל שבעה, לכן לא רצו לסמוך להקל רק בשעת הדחק. וע"ש עוד.</w:t>
      </w:r>
      <w:r w:rsidR="00395338">
        <w:rPr>
          <w:rFonts w:hint="cs"/>
          <w:rtl/>
        </w:rPr>
        <w:t xml:space="preserve"> </w:t>
      </w:r>
      <w:r w:rsidR="002C1E76" w:rsidRPr="007B43DE">
        <w:rPr>
          <w:rFonts w:hint="cs"/>
          <w:rtl/>
        </w:rPr>
        <w:t>המבואר מדברי האחרונים הנ"ל דס"ל דדעת השו"ע ו</w:t>
      </w:r>
      <w:r w:rsidR="00DA2E0B" w:rsidRPr="007B43DE">
        <w:rPr>
          <w:rFonts w:hint="cs"/>
          <w:rtl/>
        </w:rPr>
        <w:t>הרמב"ם להקל אף לכתחילה, ורק הרמ"א פסל בזה.</w:t>
      </w:r>
      <w:r w:rsidR="002C1E76" w:rsidRPr="007B43DE">
        <w:rPr>
          <w:rFonts w:hint="cs"/>
          <w:rtl/>
        </w:rPr>
        <w:t xml:space="preserve"> אמנם מצינו להרב כה"ח (תרמ"ט ס"ק נ"ז) שכתב דלכתחילה לא יקח פסולי הדר משום שלדעת הרמ"א וסייעתו פסול. ורק בדיעבד כשאין לו יכול לסמוך ע"ז, דעכ"פ דעת השו"ע לה</w:t>
      </w:r>
      <w:r w:rsidR="00932D7E" w:rsidRPr="007B43DE">
        <w:rPr>
          <w:rFonts w:hint="cs"/>
          <w:rtl/>
        </w:rPr>
        <w:t>קל</w:t>
      </w:r>
      <w:r w:rsidR="002C1E76" w:rsidRPr="007B43DE">
        <w:rPr>
          <w:rFonts w:hint="cs"/>
          <w:rtl/>
        </w:rPr>
        <w:t xml:space="preserve"> בזה. וכ"כ נמי הרב אור לציון (ח"ד עמ' רט"ז </w:t>
      </w:r>
      <w:r w:rsidR="002C1E76" w:rsidRPr="007B43DE">
        <w:rPr>
          <w:rtl/>
        </w:rPr>
        <w:t>–</w:t>
      </w:r>
      <w:r w:rsidR="002C1E76" w:rsidRPr="007B43DE">
        <w:rPr>
          <w:rFonts w:hint="cs"/>
          <w:rtl/>
        </w:rPr>
        <w:t xml:space="preserve"> רי"ז) </w:t>
      </w:r>
      <w:r w:rsidR="000403EE" w:rsidRPr="007B43DE">
        <w:rPr>
          <w:rFonts w:hint="cs"/>
          <w:rtl/>
        </w:rPr>
        <w:t>שדבר שהוא משום חסרון בהדר לכתחילה אין לקחת אותו, ורק אם מוכרח ליקח יטלנו אך בלא ברכה, ועיי"ש בהערותיו. אמנם מרן זצוק"ל בספרו חזו"ע (עמ' רפ"א והלאה) צווח ככרו</w:t>
      </w:r>
      <w:r w:rsidR="00484B57" w:rsidRPr="007B43DE">
        <w:rPr>
          <w:rFonts w:hint="cs"/>
          <w:rtl/>
        </w:rPr>
        <w:t>כ</w:t>
      </w:r>
      <w:r w:rsidR="000403EE" w:rsidRPr="007B43DE">
        <w:rPr>
          <w:rFonts w:hint="cs"/>
          <w:rtl/>
        </w:rPr>
        <w:t xml:space="preserve">יא </w:t>
      </w:r>
      <w:r w:rsidR="00250F87" w:rsidRPr="007B43DE">
        <w:rPr>
          <w:rFonts w:hint="cs"/>
          <w:rtl/>
        </w:rPr>
        <w:t>ע"ז, והאריך לדחות דברי הכה"ח והאור לציון</w:t>
      </w:r>
      <w:r w:rsidR="00B54F6B" w:rsidRPr="007B43DE">
        <w:rPr>
          <w:rFonts w:hint="cs"/>
          <w:rtl/>
        </w:rPr>
        <w:t>,</w:t>
      </w:r>
      <w:r w:rsidR="00250F87" w:rsidRPr="007B43DE">
        <w:rPr>
          <w:rFonts w:hint="cs"/>
          <w:rtl/>
        </w:rPr>
        <w:t xml:space="preserve"> וכתב</w:t>
      </w:r>
      <w:r w:rsidR="00B54F6B" w:rsidRPr="007B43DE">
        <w:rPr>
          <w:rFonts w:hint="cs"/>
          <w:rtl/>
        </w:rPr>
        <w:t>,</w:t>
      </w:r>
      <w:r w:rsidR="00250F87" w:rsidRPr="007B43DE">
        <w:rPr>
          <w:rFonts w:hint="cs"/>
          <w:rtl/>
        </w:rPr>
        <w:t xml:space="preserve"> דשפיר יכול לברך על דבר שהוא חסרון בהדר</w:t>
      </w:r>
      <w:r w:rsidR="00FB13B6" w:rsidRPr="007B43DE">
        <w:rPr>
          <w:rFonts w:hint="cs"/>
          <w:rtl/>
        </w:rPr>
        <w:t xml:space="preserve"> בשאר הימים</w:t>
      </w:r>
      <w:r w:rsidR="00250F87" w:rsidRPr="007B43DE">
        <w:rPr>
          <w:rFonts w:hint="cs"/>
          <w:rtl/>
        </w:rPr>
        <w:t>, והוכיח כן מדברי הירושלמי</w:t>
      </w:r>
      <w:r w:rsidR="00B54F6B" w:rsidRPr="007B43DE">
        <w:rPr>
          <w:rFonts w:hint="cs"/>
          <w:rtl/>
        </w:rPr>
        <w:t>, ומדברי</w:t>
      </w:r>
      <w:r w:rsidR="00250F87" w:rsidRPr="007B43DE">
        <w:rPr>
          <w:rFonts w:hint="cs"/>
          <w:rtl/>
        </w:rPr>
        <w:t xml:space="preserve"> ראשונים ואחרונים דאין פסול בהדר בשאר </w:t>
      </w:r>
      <w:r w:rsidR="000E2EA5" w:rsidRPr="007B43DE">
        <w:rPr>
          <w:rFonts w:hint="cs"/>
          <w:rtl/>
        </w:rPr>
        <w:t>הימים, וליכא למימר הכא סב"ל כלל,</w:t>
      </w:r>
      <w:r w:rsidR="00250F87" w:rsidRPr="007B43DE">
        <w:rPr>
          <w:rFonts w:hint="cs"/>
          <w:rtl/>
        </w:rPr>
        <w:t xml:space="preserve"> </w:t>
      </w:r>
      <w:r w:rsidR="000E2EA5" w:rsidRPr="007B43DE">
        <w:rPr>
          <w:rFonts w:hint="cs"/>
          <w:rtl/>
        </w:rPr>
        <w:t xml:space="preserve">והעלה דשפיר יוכל אף לברך על דבר שיש בו חסרון בהדר. </w:t>
      </w:r>
      <w:r w:rsidR="00250F87" w:rsidRPr="007B43DE">
        <w:rPr>
          <w:rFonts w:hint="cs"/>
          <w:rtl/>
        </w:rPr>
        <w:t xml:space="preserve">אמנם נראה דמהיות טוב אם יוכל בנקל לחזר אחר ערבה שאין ראשה קטום, בפרט בזמנינו שהשפע גדול, שיצא ידי כולם, והמחמיר בזה </w:t>
      </w:r>
      <w:r w:rsidR="00EE72CB" w:rsidRPr="007B43DE">
        <w:rPr>
          <w:rFonts w:hint="cs"/>
          <w:rtl/>
        </w:rPr>
        <w:t>אשרי חלקו</w:t>
      </w:r>
      <w:r w:rsidR="00250F87" w:rsidRPr="007B43DE">
        <w:rPr>
          <w:rFonts w:hint="cs"/>
          <w:rtl/>
        </w:rPr>
        <w:t>.</w:t>
      </w:r>
    </w:p>
  </w:footnote>
  <w:footnote w:id="11">
    <w:p w:rsidR="00F559D0" w:rsidRPr="007B43DE" w:rsidRDefault="00FA5DEA" w:rsidP="00703650">
      <w:pPr>
        <w:rPr>
          <w:rtl/>
        </w:rPr>
      </w:pPr>
      <w:r w:rsidRPr="007B43DE">
        <w:footnoteRef/>
      </w:r>
      <w:r w:rsidRPr="007B43DE">
        <w:rPr>
          <w:rtl/>
        </w:rPr>
        <w:t xml:space="preserve"> </w:t>
      </w:r>
      <w:r w:rsidRPr="007B43DE">
        <w:rPr>
          <w:rFonts w:hint="cs"/>
          <w:rtl/>
        </w:rPr>
        <w:t>כתב מרן זצוק"ל בספרו חזו"ע (עמ' שי"ט) בהערות "וערבה שיוצאים מן הקנה שלה ענפים נוספים, אין צורך לקצצם, וכשרים כמות שהיא". וציין שכן דעת מרן הגרי"ש אלישיב זצוק"ל. וע"ע בספר ארבעת המינים למהדרין (עמ' קכ"ב) שהביא שאף מרן הסטייפלער זצוק"ל לקח מערבות אלו, ולא הקפיד שלא יהיו גבעולים וכדו' בין ענפי הערבה, וכן עיקר.</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numFmt w:val="hebrew1"/>
    <w:footnote w:id="-1"/>
    <w:footnote w:id="0"/>
  </w:footnotePr>
  <w:endnotePr>
    <w:endnote w:id="-1"/>
    <w:endnote w:id="0"/>
  </w:endnotePr>
  <w:compat/>
  <w:rsids>
    <w:rsidRoot w:val="006126CF"/>
    <w:rsid w:val="000008D3"/>
    <w:rsid w:val="00013175"/>
    <w:rsid w:val="00022F2D"/>
    <w:rsid w:val="00027986"/>
    <w:rsid w:val="000345ED"/>
    <w:rsid w:val="000403EE"/>
    <w:rsid w:val="00050F39"/>
    <w:rsid w:val="0007661B"/>
    <w:rsid w:val="00076941"/>
    <w:rsid w:val="00077F4D"/>
    <w:rsid w:val="00087DED"/>
    <w:rsid w:val="000909F7"/>
    <w:rsid w:val="000916B9"/>
    <w:rsid w:val="0009549F"/>
    <w:rsid w:val="000966D8"/>
    <w:rsid w:val="000A01E3"/>
    <w:rsid w:val="000A569D"/>
    <w:rsid w:val="000A6F02"/>
    <w:rsid w:val="000B21DA"/>
    <w:rsid w:val="000C3A75"/>
    <w:rsid w:val="000C603F"/>
    <w:rsid w:val="000D0636"/>
    <w:rsid w:val="000D327A"/>
    <w:rsid w:val="000E06DD"/>
    <w:rsid w:val="000E2EA5"/>
    <w:rsid w:val="000F29A0"/>
    <w:rsid w:val="000F69A2"/>
    <w:rsid w:val="001041EF"/>
    <w:rsid w:val="0010556B"/>
    <w:rsid w:val="00110A26"/>
    <w:rsid w:val="00110CC0"/>
    <w:rsid w:val="00111EF5"/>
    <w:rsid w:val="00136925"/>
    <w:rsid w:val="001502C1"/>
    <w:rsid w:val="001540B2"/>
    <w:rsid w:val="00154139"/>
    <w:rsid w:val="001666F8"/>
    <w:rsid w:val="00172B49"/>
    <w:rsid w:val="00172EE8"/>
    <w:rsid w:val="00186F1F"/>
    <w:rsid w:val="001A0B97"/>
    <w:rsid w:val="001B0A66"/>
    <w:rsid w:val="001B3DCE"/>
    <w:rsid w:val="001C5BAA"/>
    <w:rsid w:val="001D1A49"/>
    <w:rsid w:val="001D6A80"/>
    <w:rsid w:val="001E3278"/>
    <w:rsid w:val="001F11A0"/>
    <w:rsid w:val="00214444"/>
    <w:rsid w:val="00222FB7"/>
    <w:rsid w:val="00231D3C"/>
    <w:rsid w:val="00232EE1"/>
    <w:rsid w:val="00236328"/>
    <w:rsid w:val="002407FF"/>
    <w:rsid w:val="00250F87"/>
    <w:rsid w:val="00263A43"/>
    <w:rsid w:val="00282ECD"/>
    <w:rsid w:val="002839FB"/>
    <w:rsid w:val="002913AD"/>
    <w:rsid w:val="002A57BF"/>
    <w:rsid w:val="002B09D5"/>
    <w:rsid w:val="002B3DAD"/>
    <w:rsid w:val="002B3EF5"/>
    <w:rsid w:val="002B4C66"/>
    <w:rsid w:val="002C1E76"/>
    <w:rsid w:val="002C442D"/>
    <w:rsid w:val="002C46F1"/>
    <w:rsid w:val="002D14B9"/>
    <w:rsid w:val="002D1604"/>
    <w:rsid w:val="002D1628"/>
    <w:rsid w:val="002E0C69"/>
    <w:rsid w:val="002E3837"/>
    <w:rsid w:val="002F4CE7"/>
    <w:rsid w:val="002F548B"/>
    <w:rsid w:val="0031091B"/>
    <w:rsid w:val="00317F34"/>
    <w:rsid w:val="003212D9"/>
    <w:rsid w:val="00322D39"/>
    <w:rsid w:val="0032380E"/>
    <w:rsid w:val="00324E18"/>
    <w:rsid w:val="00333990"/>
    <w:rsid w:val="00336E74"/>
    <w:rsid w:val="003378FA"/>
    <w:rsid w:val="0034438C"/>
    <w:rsid w:val="003472C1"/>
    <w:rsid w:val="00361558"/>
    <w:rsid w:val="00395338"/>
    <w:rsid w:val="003A673A"/>
    <w:rsid w:val="003F12E0"/>
    <w:rsid w:val="0040394A"/>
    <w:rsid w:val="00410A2E"/>
    <w:rsid w:val="00411967"/>
    <w:rsid w:val="00413B7A"/>
    <w:rsid w:val="0042093D"/>
    <w:rsid w:val="004316BC"/>
    <w:rsid w:val="00434B64"/>
    <w:rsid w:val="0045506C"/>
    <w:rsid w:val="0046407A"/>
    <w:rsid w:val="00483F6F"/>
    <w:rsid w:val="00484B57"/>
    <w:rsid w:val="00496C18"/>
    <w:rsid w:val="004A1BC5"/>
    <w:rsid w:val="004A5546"/>
    <w:rsid w:val="004B5000"/>
    <w:rsid w:val="004C232D"/>
    <w:rsid w:val="004D3391"/>
    <w:rsid w:val="00517122"/>
    <w:rsid w:val="005201ED"/>
    <w:rsid w:val="00524E1E"/>
    <w:rsid w:val="00526777"/>
    <w:rsid w:val="00537F00"/>
    <w:rsid w:val="00540E14"/>
    <w:rsid w:val="005433FB"/>
    <w:rsid w:val="00551A22"/>
    <w:rsid w:val="0058134F"/>
    <w:rsid w:val="005A5BCD"/>
    <w:rsid w:val="005B7A6D"/>
    <w:rsid w:val="005C1E76"/>
    <w:rsid w:val="005D0D18"/>
    <w:rsid w:val="005D60C7"/>
    <w:rsid w:val="005D681C"/>
    <w:rsid w:val="005E1D4E"/>
    <w:rsid w:val="005F19AF"/>
    <w:rsid w:val="005F3BC5"/>
    <w:rsid w:val="005F43BB"/>
    <w:rsid w:val="005F509E"/>
    <w:rsid w:val="005F68E2"/>
    <w:rsid w:val="006020C4"/>
    <w:rsid w:val="00605E57"/>
    <w:rsid w:val="0060643C"/>
    <w:rsid w:val="00610BB6"/>
    <w:rsid w:val="006126CF"/>
    <w:rsid w:val="00612EE1"/>
    <w:rsid w:val="0061576E"/>
    <w:rsid w:val="0062411E"/>
    <w:rsid w:val="006250C1"/>
    <w:rsid w:val="006259F3"/>
    <w:rsid w:val="0062797B"/>
    <w:rsid w:val="00634CA5"/>
    <w:rsid w:val="006409FA"/>
    <w:rsid w:val="00645ECF"/>
    <w:rsid w:val="006465F3"/>
    <w:rsid w:val="00652115"/>
    <w:rsid w:val="006772B1"/>
    <w:rsid w:val="006873DB"/>
    <w:rsid w:val="0069081F"/>
    <w:rsid w:val="00695AC3"/>
    <w:rsid w:val="00695F5E"/>
    <w:rsid w:val="006A5F1C"/>
    <w:rsid w:val="006B0A07"/>
    <w:rsid w:val="006C0FC0"/>
    <w:rsid w:val="006C7757"/>
    <w:rsid w:val="006D2091"/>
    <w:rsid w:val="006D2BFA"/>
    <w:rsid w:val="006E202B"/>
    <w:rsid w:val="006E45CF"/>
    <w:rsid w:val="006F484E"/>
    <w:rsid w:val="00703650"/>
    <w:rsid w:val="00730AB6"/>
    <w:rsid w:val="00736F4B"/>
    <w:rsid w:val="00743438"/>
    <w:rsid w:val="00743B42"/>
    <w:rsid w:val="00763DDE"/>
    <w:rsid w:val="007663A3"/>
    <w:rsid w:val="00773995"/>
    <w:rsid w:val="007753D4"/>
    <w:rsid w:val="00776E24"/>
    <w:rsid w:val="0079154D"/>
    <w:rsid w:val="00794F78"/>
    <w:rsid w:val="00795084"/>
    <w:rsid w:val="00796385"/>
    <w:rsid w:val="007A0345"/>
    <w:rsid w:val="007A7ECD"/>
    <w:rsid w:val="007B43DE"/>
    <w:rsid w:val="007C3E34"/>
    <w:rsid w:val="007D54CA"/>
    <w:rsid w:val="007E5AAD"/>
    <w:rsid w:val="007E61BB"/>
    <w:rsid w:val="007F1B21"/>
    <w:rsid w:val="007F2F10"/>
    <w:rsid w:val="007F6B99"/>
    <w:rsid w:val="008066BF"/>
    <w:rsid w:val="008305DD"/>
    <w:rsid w:val="00846784"/>
    <w:rsid w:val="00855C6B"/>
    <w:rsid w:val="00864D97"/>
    <w:rsid w:val="00872F1A"/>
    <w:rsid w:val="00886920"/>
    <w:rsid w:val="008A23F9"/>
    <w:rsid w:val="008A4964"/>
    <w:rsid w:val="008B4A08"/>
    <w:rsid w:val="008B4BBD"/>
    <w:rsid w:val="008E1165"/>
    <w:rsid w:val="008E1B1B"/>
    <w:rsid w:val="008F037A"/>
    <w:rsid w:val="008F64D4"/>
    <w:rsid w:val="00901A45"/>
    <w:rsid w:val="00911F0A"/>
    <w:rsid w:val="0091202F"/>
    <w:rsid w:val="009136DA"/>
    <w:rsid w:val="0093032A"/>
    <w:rsid w:val="009316C9"/>
    <w:rsid w:val="00931852"/>
    <w:rsid w:val="0093195A"/>
    <w:rsid w:val="00932D7E"/>
    <w:rsid w:val="009339F1"/>
    <w:rsid w:val="0093486C"/>
    <w:rsid w:val="0093662A"/>
    <w:rsid w:val="00946E58"/>
    <w:rsid w:val="00946F06"/>
    <w:rsid w:val="00950509"/>
    <w:rsid w:val="009516AB"/>
    <w:rsid w:val="00951CAB"/>
    <w:rsid w:val="009522EA"/>
    <w:rsid w:val="0095402E"/>
    <w:rsid w:val="009544EA"/>
    <w:rsid w:val="009555E0"/>
    <w:rsid w:val="009577B2"/>
    <w:rsid w:val="00961239"/>
    <w:rsid w:val="0097275E"/>
    <w:rsid w:val="00974EA8"/>
    <w:rsid w:val="00976C56"/>
    <w:rsid w:val="00993ADD"/>
    <w:rsid w:val="00995EF0"/>
    <w:rsid w:val="009A508B"/>
    <w:rsid w:val="009A5230"/>
    <w:rsid w:val="009B4535"/>
    <w:rsid w:val="009C1C6D"/>
    <w:rsid w:val="009D3A1A"/>
    <w:rsid w:val="009D521A"/>
    <w:rsid w:val="009E724C"/>
    <w:rsid w:val="009F0C1C"/>
    <w:rsid w:val="009F4026"/>
    <w:rsid w:val="00A0366F"/>
    <w:rsid w:val="00A119FE"/>
    <w:rsid w:val="00A174E6"/>
    <w:rsid w:val="00A30DA0"/>
    <w:rsid w:val="00A40F6A"/>
    <w:rsid w:val="00A4177C"/>
    <w:rsid w:val="00A441F8"/>
    <w:rsid w:val="00A45314"/>
    <w:rsid w:val="00A45EFA"/>
    <w:rsid w:val="00A47C48"/>
    <w:rsid w:val="00A50691"/>
    <w:rsid w:val="00A509A3"/>
    <w:rsid w:val="00A57A1E"/>
    <w:rsid w:val="00A73B87"/>
    <w:rsid w:val="00A80DAA"/>
    <w:rsid w:val="00A840E2"/>
    <w:rsid w:val="00A90ACF"/>
    <w:rsid w:val="00A91CAD"/>
    <w:rsid w:val="00A92403"/>
    <w:rsid w:val="00AA47B5"/>
    <w:rsid w:val="00AA65EB"/>
    <w:rsid w:val="00AC0199"/>
    <w:rsid w:val="00AC0FF8"/>
    <w:rsid w:val="00AC578C"/>
    <w:rsid w:val="00AD372A"/>
    <w:rsid w:val="00AE3597"/>
    <w:rsid w:val="00AE71BA"/>
    <w:rsid w:val="00B01BD7"/>
    <w:rsid w:val="00B02E69"/>
    <w:rsid w:val="00B033D6"/>
    <w:rsid w:val="00B072D0"/>
    <w:rsid w:val="00B07C67"/>
    <w:rsid w:val="00B11AF8"/>
    <w:rsid w:val="00B34744"/>
    <w:rsid w:val="00B34A30"/>
    <w:rsid w:val="00B42514"/>
    <w:rsid w:val="00B43E06"/>
    <w:rsid w:val="00B51355"/>
    <w:rsid w:val="00B54F6B"/>
    <w:rsid w:val="00B5555E"/>
    <w:rsid w:val="00B56C95"/>
    <w:rsid w:val="00B6036A"/>
    <w:rsid w:val="00B61AA2"/>
    <w:rsid w:val="00B65E18"/>
    <w:rsid w:val="00B82642"/>
    <w:rsid w:val="00B844A4"/>
    <w:rsid w:val="00BA6C13"/>
    <w:rsid w:val="00BB4FDE"/>
    <w:rsid w:val="00BC5538"/>
    <w:rsid w:val="00BD07AD"/>
    <w:rsid w:val="00BD3334"/>
    <w:rsid w:val="00BD79E9"/>
    <w:rsid w:val="00BE17EF"/>
    <w:rsid w:val="00BF054E"/>
    <w:rsid w:val="00BF433A"/>
    <w:rsid w:val="00C0467F"/>
    <w:rsid w:val="00C11236"/>
    <w:rsid w:val="00C124A0"/>
    <w:rsid w:val="00C14EC7"/>
    <w:rsid w:val="00C15612"/>
    <w:rsid w:val="00C534DA"/>
    <w:rsid w:val="00C713FE"/>
    <w:rsid w:val="00C905DA"/>
    <w:rsid w:val="00C95F3E"/>
    <w:rsid w:val="00C97D5B"/>
    <w:rsid w:val="00CB3380"/>
    <w:rsid w:val="00CD1B20"/>
    <w:rsid w:val="00CE157F"/>
    <w:rsid w:val="00CE2FB6"/>
    <w:rsid w:val="00CF142B"/>
    <w:rsid w:val="00CF6046"/>
    <w:rsid w:val="00D018CF"/>
    <w:rsid w:val="00D17D27"/>
    <w:rsid w:val="00D20AD9"/>
    <w:rsid w:val="00D2166A"/>
    <w:rsid w:val="00D240DA"/>
    <w:rsid w:val="00D32097"/>
    <w:rsid w:val="00D433F3"/>
    <w:rsid w:val="00D52104"/>
    <w:rsid w:val="00D56213"/>
    <w:rsid w:val="00D62CF1"/>
    <w:rsid w:val="00D752C9"/>
    <w:rsid w:val="00D84B0A"/>
    <w:rsid w:val="00DA2E0B"/>
    <w:rsid w:val="00DA4DE3"/>
    <w:rsid w:val="00DB4E18"/>
    <w:rsid w:val="00DB6FD8"/>
    <w:rsid w:val="00DC7F51"/>
    <w:rsid w:val="00DF2AAC"/>
    <w:rsid w:val="00E014F3"/>
    <w:rsid w:val="00E345F8"/>
    <w:rsid w:val="00E346FD"/>
    <w:rsid w:val="00E36045"/>
    <w:rsid w:val="00E4027B"/>
    <w:rsid w:val="00E43764"/>
    <w:rsid w:val="00E45D1F"/>
    <w:rsid w:val="00E528FB"/>
    <w:rsid w:val="00E529EE"/>
    <w:rsid w:val="00E70C7F"/>
    <w:rsid w:val="00E8445D"/>
    <w:rsid w:val="00E85B94"/>
    <w:rsid w:val="00E8776E"/>
    <w:rsid w:val="00E91264"/>
    <w:rsid w:val="00EA538C"/>
    <w:rsid w:val="00EB50A1"/>
    <w:rsid w:val="00EC5D09"/>
    <w:rsid w:val="00ED1D31"/>
    <w:rsid w:val="00ED590D"/>
    <w:rsid w:val="00ED59ED"/>
    <w:rsid w:val="00EE1269"/>
    <w:rsid w:val="00EE72CB"/>
    <w:rsid w:val="00EF607B"/>
    <w:rsid w:val="00F06DB2"/>
    <w:rsid w:val="00F07E27"/>
    <w:rsid w:val="00F11DE1"/>
    <w:rsid w:val="00F131B9"/>
    <w:rsid w:val="00F153EC"/>
    <w:rsid w:val="00F15A8D"/>
    <w:rsid w:val="00F16675"/>
    <w:rsid w:val="00F27E13"/>
    <w:rsid w:val="00F34938"/>
    <w:rsid w:val="00F40AB1"/>
    <w:rsid w:val="00F559D0"/>
    <w:rsid w:val="00F6319E"/>
    <w:rsid w:val="00F6789C"/>
    <w:rsid w:val="00F7712D"/>
    <w:rsid w:val="00F8076E"/>
    <w:rsid w:val="00F81062"/>
    <w:rsid w:val="00F81A49"/>
    <w:rsid w:val="00F869C5"/>
    <w:rsid w:val="00FA0EBC"/>
    <w:rsid w:val="00FA5DEA"/>
    <w:rsid w:val="00FB13B6"/>
    <w:rsid w:val="00FB6117"/>
    <w:rsid w:val="00FC4BE3"/>
    <w:rsid w:val="00FD0F63"/>
    <w:rsid w:val="00FD25B1"/>
    <w:rsid w:val="00FD6FB9"/>
    <w:rsid w:val="00FE7329"/>
    <w:rsid w:val="00FF0775"/>
    <w:rsid w:val="00FF4B65"/>
    <w:rsid w:val="00FF6EF9"/>
    <w:rsid w:val="00FF7D0E"/>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DAA"/>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6D2BFA"/>
    <w:pPr>
      <w:spacing w:after="0" w:line="240" w:lineRule="auto"/>
    </w:pPr>
    <w:rPr>
      <w:sz w:val="20"/>
      <w:szCs w:val="20"/>
    </w:rPr>
  </w:style>
  <w:style w:type="character" w:customStyle="1" w:styleId="a4">
    <w:name w:val="טקסט הערת סיום תו"/>
    <w:basedOn w:val="a0"/>
    <w:link w:val="a3"/>
    <w:uiPriority w:val="99"/>
    <w:semiHidden/>
    <w:rsid w:val="006D2BFA"/>
    <w:rPr>
      <w:sz w:val="20"/>
      <w:szCs w:val="20"/>
    </w:rPr>
  </w:style>
  <w:style w:type="character" w:styleId="a5">
    <w:name w:val="endnote reference"/>
    <w:basedOn w:val="a0"/>
    <w:uiPriority w:val="99"/>
    <w:semiHidden/>
    <w:unhideWhenUsed/>
    <w:rsid w:val="006D2BFA"/>
    <w:rPr>
      <w:vertAlign w:val="superscript"/>
    </w:rPr>
  </w:style>
  <w:style w:type="paragraph" w:styleId="a6">
    <w:name w:val="footnote text"/>
    <w:basedOn w:val="a"/>
    <w:link w:val="a7"/>
    <w:uiPriority w:val="99"/>
    <w:semiHidden/>
    <w:unhideWhenUsed/>
    <w:rsid w:val="006D2BFA"/>
    <w:pPr>
      <w:spacing w:after="0" w:line="240" w:lineRule="auto"/>
    </w:pPr>
    <w:rPr>
      <w:sz w:val="20"/>
      <w:szCs w:val="20"/>
    </w:rPr>
  </w:style>
  <w:style w:type="character" w:customStyle="1" w:styleId="a7">
    <w:name w:val="טקסט הערת שוליים תו"/>
    <w:basedOn w:val="a0"/>
    <w:link w:val="a6"/>
    <w:uiPriority w:val="99"/>
    <w:semiHidden/>
    <w:rsid w:val="006D2BFA"/>
    <w:rPr>
      <w:sz w:val="20"/>
      <w:szCs w:val="20"/>
    </w:rPr>
  </w:style>
  <w:style w:type="character" w:styleId="a8">
    <w:name w:val="footnote reference"/>
    <w:basedOn w:val="a0"/>
    <w:uiPriority w:val="99"/>
    <w:semiHidden/>
    <w:unhideWhenUsed/>
    <w:rsid w:val="006D2BFA"/>
    <w:rPr>
      <w:vertAlign w:val="superscript"/>
    </w:rPr>
  </w:style>
  <w:style w:type="paragraph" w:styleId="a9">
    <w:name w:val="No Spacing"/>
    <w:uiPriority w:val="1"/>
    <w:qFormat/>
    <w:rsid w:val="00E346FD"/>
    <w:pPr>
      <w:bidi/>
      <w:spacing w:after="0" w:line="240" w:lineRule="auto"/>
    </w:pPr>
  </w:style>
  <w:style w:type="character" w:styleId="Hyperlink">
    <w:name w:val="Hyperlink"/>
    <w:basedOn w:val="a0"/>
    <w:uiPriority w:val="99"/>
    <w:semiHidden/>
    <w:unhideWhenUsed/>
    <w:rsid w:val="000A569D"/>
    <w:rPr>
      <w:color w:val="0032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6D2BFA"/>
    <w:pPr>
      <w:spacing w:after="0" w:line="240" w:lineRule="auto"/>
    </w:pPr>
    <w:rPr>
      <w:sz w:val="20"/>
      <w:szCs w:val="20"/>
    </w:rPr>
  </w:style>
  <w:style w:type="character" w:customStyle="1" w:styleId="a4">
    <w:name w:val="טקסט הערת סיום תו"/>
    <w:basedOn w:val="a0"/>
    <w:link w:val="a3"/>
    <w:uiPriority w:val="99"/>
    <w:semiHidden/>
    <w:rsid w:val="006D2BFA"/>
    <w:rPr>
      <w:sz w:val="20"/>
      <w:szCs w:val="20"/>
    </w:rPr>
  </w:style>
  <w:style w:type="character" w:styleId="a5">
    <w:name w:val="endnote reference"/>
    <w:basedOn w:val="a0"/>
    <w:uiPriority w:val="99"/>
    <w:semiHidden/>
    <w:unhideWhenUsed/>
    <w:rsid w:val="006D2BFA"/>
    <w:rPr>
      <w:vertAlign w:val="superscript"/>
    </w:rPr>
  </w:style>
  <w:style w:type="paragraph" w:styleId="a6">
    <w:name w:val="footnote text"/>
    <w:basedOn w:val="a"/>
    <w:link w:val="a7"/>
    <w:uiPriority w:val="99"/>
    <w:semiHidden/>
    <w:unhideWhenUsed/>
    <w:rsid w:val="006D2BFA"/>
    <w:pPr>
      <w:spacing w:after="0" w:line="240" w:lineRule="auto"/>
    </w:pPr>
    <w:rPr>
      <w:sz w:val="20"/>
      <w:szCs w:val="20"/>
    </w:rPr>
  </w:style>
  <w:style w:type="character" w:customStyle="1" w:styleId="a7">
    <w:name w:val="טקסט הערת שוליים תו"/>
    <w:basedOn w:val="a0"/>
    <w:link w:val="a6"/>
    <w:uiPriority w:val="99"/>
    <w:semiHidden/>
    <w:rsid w:val="006D2BFA"/>
    <w:rPr>
      <w:sz w:val="20"/>
      <w:szCs w:val="20"/>
    </w:rPr>
  </w:style>
  <w:style w:type="character" w:styleId="a8">
    <w:name w:val="footnote reference"/>
    <w:basedOn w:val="a0"/>
    <w:uiPriority w:val="99"/>
    <w:semiHidden/>
    <w:unhideWhenUsed/>
    <w:rsid w:val="006D2BFA"/>
    <w:rPr>
      <w:vertAlign w:val="superscript"/>
    </w:rPr>
  </w:style>
  <w:style w:type="paragraph" w:styleId="a9">
    <w:name w:val="No Spacing"/>
    <w:uiPriority w:val="1"/>
    <w:qFormat/>
    <w:rsid w:val="00E346FD"/>
    <w:pPr>
      <w:bidi/>
      <w:spacing w:after="0" w:line="240" w:lineRule="auto"/>
    </w:pPr>
  </w:style>
  <w:style w:type="character" w:styleId="Hyperlink">
    <w:name w:val="Hyperlink"/>
    <w:basedOn w:val="a0"/>
    <w:uiPriority w:val="99"/>
    <w:semiHidden/>
    <w:unhideWhenUsed/>
    <w:rsid w:val="000A569D"/>
    <w:rPr>
      <w:color w:val="0032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881BB-1529-4336-92DB-EEF857AE9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1421</TotalTime>
  <Pages>6</Pages>
  <Words>217</Words>
  <Characters>1090</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שרית</dc:creator>
  <cp:lastModifiedBy>user</cp:lastModifiedBy>
  <cp:revision>406</cp:revision>
  <cp:lastPrinted>2016-11-04T08:50:00Z</cp:lastPrinted>
  <dcterms:created xsi:type="dcterms:W3CDTF">2016-11-02T12:39:00Z</dcterms:created>
  <dcterms:modified xsi:type="dcterms:W3CDTF">2017-05-27T18:31:00Z</dcterms:modified>
</cp:coreProperties>
</file>